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2DB5F" w14:textId="77777777" w:rsidR="007567AF" w:rsidRDefault="00E16BB7">
      <w:pPr>
        <w:spacing w:before="240" w:after="120"/>
        <w:ind w:right="129"/>
        <w:jc w:val="center"/>
        <w:rPr>
          <w:b/>
          <w:sz w:val="20"/>
          <w:szCs w:val="20"/>
        </w:rPr>
      </w:pPr>
      <w:r>
        <w:rPr>
          <w:b/>
          <w:sz w:val="20"/>
          <w:szCs w:val="20"/>
        </w:rPr>
        <w:t>ANEXO III</w:t>
      </w:r>
    </w:p>
    <w:p w14:paraId="4986CE90" w14:textId="77777777" w:rsidR="007567AF" w:rsidRDefault="00E16BB7">
      <w:pPr>
        <w:spacing w:after="120"/>
        <w:ind w:left="851" w:right="129"/>
        <w:jc w:val="center"/>
        <w:rPr>
          <w:b/>
          <w:sz w:val="20"/>
          <w:szCs w:val="20"/>
        </w:rPr>
      </w:pPr>
      <w:r>
        <w:rPr>
          <w:b/>
          <w:sz w:val="20"/>
          <w:szCs w:val="20"/>
        </w:rPr>
        <w:t>TERMO DE EXECUÇÃO CULTURAL</w:t>
      </w:r>
    </w:p>
    <w:p w14:paraId="53AF3850" w14:textId="77777777" w:rsidR="007567AF" w:rsidRDefault="007567AF">
      <w:pPr>
        <w:spacing w:after="120"/>
        <w:ind w:left="851" w:right="129"/>
        <w:jc w:val="both"/>
        <w:rPr>
          <w:sz w:val="20"/>
          <w:szCs w:val="20"/>
        </w:rPr>
      </w:pPr>
    </w:p>
    <w:p w14:paraId="04103247" w14:textId="77777777" w:rsidR="007567AF" w:rsidRDefault="00E16BB7">
      <w:pPr>
        <w:spacing w:after="120"/>
        <w:ind w:right="-1"/>
        <w:jc w:val="both"/>
      </w:pPr>
      <w:r>
        <w:t xml:space="preserve">TERMO DE EXECUÇÃO CULTURAL Nº </w:t>
      </w:r>
      <w:r>
        <w:rPr>
          <w:color w:val="111111"/>
        </w:rPr>
        <w:t>____/</w:t>
      </w:r>
      <w:r>
        <w:t xml:space="preserve">2023 TENDO POR OBJETO A CONCESSÃO DE APOIO FINANCEIRO A AÇÕES CULTURAIS CONTEMPLADAS PELO </w:t>
      </w:r>
      <w:r>
        <w:rPr>
          <w:b/>
        </w:rPr>
        <w:t>EDITAL DE FOMENTO AO AUDIOVISUAL</w:t>
      </w:r>
      <w:r>
        <w:t xml:space="preserve"> nº </w:t>
      </w:r>
      <w:r>
        <w:rPr>
          <w:color w:val="111111"/>
        </w:rPr>
        <w:t>005/</w:t>
      </w:r>
      <w:r>
        <w:t>2023</w:t>
      </w:r>
      <w:r>
        <w:rPr>
          <w:i/>
        </w:rPr>
        <w:t xml:space="preserve"> </w:t>
      </w:r>
      <w:r>
        <w:t xml:space="preserve">– </w:t>
      </w:r>
      <w:r>
        <w:rPr>
          <w:b/>
        </w:rPr>
        <w:t>PRODUÇÃO AUDIOVISUAL</w:t>
      </w:r>
      <w:r>
        <w:t xml:space="preserve">, DA FUNDAÇÃO </w:t>
      </w:r>
      <w:r>
        <w:t>CULTURAL DO MUNICÍPIO DE BELÉM</w:t>
      </w:r>
      <w:r>
        <w:rPr>
          <w:i/>
        </w:rPr>
        <w:t>,</w:t>
      </w:r>
      <w:r>
        <w:t xml:space="preserve"> NOS TERMOS DA LEI COMPLEMENTAR Nº 195/2022 (LEI PAULO GUSTAVO), DO DECRETO N. 11.525/2023 (DECRETO PAULO GUSTAVO) E DO DECRETO 11.453/2023 (DECRETO DE FOMENTO).</w:t>
      </w:r>
    </w:p>
    <w:p w14:paraId="7C657FC4" w14:textId="77777777" w:rsidR="007567AF" w:rsidRDefault="00E16BB7">
      <w:pPr>
        <w:spacing w:after="100"/>
        <w:ind w:right="-1"/>
        <w:jc w:val="both"/>
        <w:rPr>
          <w:b/>
        </w:rPr>
      </w:pPr>
      <w:r>
        <w:rPr>
          <w:b/>
        </w:rPr>
        <w:t>1. PARTES</w:t>
      </w:r>
    </w:p>
    <w:p w14:paraId="5CE38853" w14:textId="77777777" w:rsidR="007567AF" w:rsidRDefault="00E16BB7">
      <w:pPr>
        <w:spacing w:line="276" w:lineRule="auto"/>
        <w:ind w:right="-1"/>
        <w:jc w:val="both"/>
      </w:pPr>
      <w:r>
        <w:rPr>
          <w:rFonts w:ascii="Tahoma" w:hAnsi="Tahoma"/>
        </w:rPr>
        <w:t xml:space="preserve">1.1 </w:t>
      </w:r>
      <w:r>
        <w:rPr>
          <w:rFonts w:ascii="Tahoma" w:hAnsi="Tahoma" w:cs="Tahoma"/>
          <w:sz w:val="21"/>
          <w:szCs w:val="21"/>
        </w:rPr>
        <w:t xml:space="preserve">A </w:t>
      </w:r>
      <w:r>
        <w:rPr>
          <w:rFonts w:ascii="Tahoma" w:hAnsi="Tahoma" w:cs="Tahoma"/>
          <w:b/>
          <w:sz w:val="21"/>
          <w:szCs w:val="21"/>
        </w:rPr>
        <w:t>FUNDAÇÃO CULTURAL DO MUNICÍPIO DE BELÉM – FUMBEL</w:t>
      </w:r>
      <w:r>
        <w:rPr>
          <w:rFonts w:ascii="Tahoma" w:hAnsi="Tahoma" w:cs="Tahoma"/>
          <w:bCs/>
          <w:sz w:val="21"/>
          <w:szCs w:val="21"/>
        </w:rPr>
        <w:t xml:space="preserve"> - Pessoa </w:t>
      </w:r>
      <w:r>
        <w:rPr>
          <w:rFonts w:ascii="Tahoma" w:hAnsi="Tahoma" w:cs="Tahoma"/>
          <w:sz w:val="21"/>
          <w:szCs w:val="21"/>
        </w:rPr>
        <w:t xml:space="preserve">Jurídica de Direito Público, devidamente inscrita no CNPJ sob o nº 34.847.335/0001-61, </w:t>
      </w:r>
      <w:r>
        <w:rPr>
          <w:rFonts w:ascii="Tahoma" w:hAnsi="Tahoma" w:cs="Tahoma"/>
          <w:spacing w:val="-6"/>
          <w:sz w:val="21"/>
          <w:szCs w:val="21"/>
        </w:rPr>
        <w:t xml:space="preserve">com sede </w:t>
      </w:r>
      <w:r>
        <w:rPr>
          <w:rFonts w:ascii="Tahoma" w:hAnsi="Tahoma" w:cs="Tahoma"/>
          <w:spacing w:val="-4"/>
          <w:sz w:val="21"/>
          <w:szCs w:val="21"/>
        </w:rPr>
        <w:t xml:space="preserve">na </w:t>
      </w:r>
      <w:r>
        <w:rPr>
          <w:rFonts w:ascii="Tahoma" w:hAnsi="Tahoma" w:cs="Tahoma"/>
          <w:spacing w:val="-8"/>
          <w:sz w:val="21"/>
          <w:szCs w:val="21"/>
        </w:rPr>
        <w:t xml:space="preserve">Avenida Governador </w:t>
      </w:r>
      <w:r>
        <w:rPr>
          <w:rFonts w:ascii="Tahoma" w:hAnsi="Tahoma" w:cs="Tahoma"/>
          <w:color w:val="111111"/>
          <w:spacing w:val="-8"/>
          <w:sz w:val="21"/>
          <w:szCs w:val="21"/>
        </w:rPr>
        <w:t>José Malcher, 295, Memorial dos Povos, Belém/PA, CEP:</w:t>
      </w:r>
      <w:r>
        <w:rPr>
          <w:rFonts w:ascii="Tahoma" w:hAnsi="Tahoma" w:cs="Tahoma"/>
          <w:color w:val="111111"/>
          <w:sz w:val="21"/>
          <w:szCs w:val="21"/>
        </w:rPr>
        <w:t xml:space="preserve"> 66035-065, neste ato representada, por sua Presidenta, </w:t>
      </w:r>
      <w:r>
        <w:rPr>
          <w:rFonts w:ascii="Tahoma" w:hAnsi="Tahoma" w:cs="Tahoma"/>
          <w:color w:val="111111"/>
          <w:spacing w:val="4"/>
          <w:sz w:val="21"/>
          <w:szCs w:val="21"/>
        </w:rPr>
        <w:t xml:space="preserve"> </w:t>
      </w:r>
      <w:r>
        <w:rPr>
          <w:rFonts w:ascii="Tahoma" w:hAnsi="Tahoma" w:cs="Tahoma"/>
          <w:b/>
          <w:bCs/>
          <w:color w:val="111111"/>
          <w:spacing w:val="4"/>
          <w:sz w:val="21"/>
          <w:szCs w:val="21"/>
        </w:rPr>
        <w:t>INÊS DE FÁTIMA OLIVEIRA DA SILVEIRA</w:t>
      </w:r>
      <w:r>
        <w:rPr>
          <w:rFonts w:ascii="Tahoma" w:hAnsi="Tahoma" w:cs="Tahoma"/>
          <w:color w:val="111111"/>
          <w:spacing w:val="4"/>
          <w:sz w:val="21"/>
          <w:szCs w:val="21"/>
        </w:rPr>
        <w:t>,</w:t>
      </w:r>
      <w:r>
        <w:rPr>
          <w:rFonts w:ascii="Tahoma" w:hAnsi="Tahoma" w:cs="Tahoma"/>
          <w:color w:val="111111"/>
          <w:spacing w:val="-7"/>
          <w:sz w:val="21"/>
          <w:szCs w:val="21"/>
        </w:rPr>
        <w:t xml:space="preserve"> Presidenta da FUMBEL, </w:t>
      </w:r>
      <w:r>
        <w:rPr>
          <w:rFonts w:ascii="Tahoma" w:hAnsi="Tahoma" w:cs="Tahoma"/>
          <w:color w:val="111111"/>
          <w:spacing w:val="4"/>
          <w:sz w:val="21"/>
          <w:szCs w:val="21"/>
        </w:rPr>
        <w:t xml:space="preserve">Brasileira, </w:t>
      </w:r>
      <w:proofErr w:type="spellStart"/>
      <w:r>
        <w:rPr>
          <w:rFonts w:ascii="Tahoma" w:hAnsi="Tahoma" w:cs="Tahoma"/>
          <w:color w:val="111111"/>
          <w:spacing w:val="4"/>
          <w:sz w:val="21"/>
          <w:szCs w:val="21"/>
        </w:rPr>
        <w:t>Turismologa</w:t>
      </w:r>
      <w:proofErr w:type="spellEnd"/>
      <w:r>
        <w:rPr>
          <w:rFonts w:ascii="Tahoma" w:hAnsi="Tahoma" w:cs="Tahoma"/>
          <w:color w:val="111111"/>
          <w:spacing w:val="4"/>
          <w:sz w:val="21"/>
          <w:szCs w:val="21"/>
        </w:rPr>
        <w:t>, Portadora do R.G</w:t>
      </w:r>
      <w:r>
        <w:rPr>
          <w:rFonts w:ascii="Tahoma" w:hAnsi="Tahoma" w:cs="Tahoma"/>
          <w:b/>
          <w:color w:val="111111"/>
          <w:spacing w:val="4"/>
          <w:sz w:val="21"/>
          <w:szCs w:val="21"/>
        </w:rPr>
        <w:t>. nº 2763039 PC/PA</w:t>
      </w:r>
      <w:r>
        <w:rPr>
          <w:rFonts w:ascii="Tahoma" w:hAnsi="Tahoma" w:cs="Tahoma"/>
          <w:color w:val="111111"/>
          <w:spacing w:val="4"/>
          <w:sz w:val="21"/>
          <w:szCs w:val="21"/>
        </w:rPr>
        <w:t xml:space="preserve"> e do CPF </w:t>
      </w:r>
      <w:r>
        <w:rPr>
          <w:rFonts w:ascii="Tahoma" w:hAnsi="Tahoma" w:cs="Tahoma"/>
          <w:b/>
          <w:color w:val="111111"/>
          <w:spacing w:val="4"/>
          <w:sz w:val="21"/>
          <w:szCs w:val="21"/>
        </w:rPr>
        <w:t>nº 155.284.562-15</w:t>
      </w:r>
      <w:r>
        <w:rPr>
          <w:rFonts w:ascii="Tahoma" w:hAnsi="Tahoma" w:cs="Tahoma"/>
          <w:color w:val="111111"/>
          <w:sz w:val="21"/>
          <w:szCs w:val="21"/>
        </w:rPr>
        <w:t xml:space="preserve">, </w:t>
      </w:r>
      <w:r>
        <w:rPr>
          <w:rFonts w:ascii="Tahoma" w:hAnsi="Tahoma" w:cs="Tahoma"/>
          <w:sz w:val="21"/>
          <w:szCs w:val="21"/>
        </w:rPr>
        <w:t>domiciliado nesta capital</w:t>
      </w:r>
      <w:r>
        <w:rPr>
          <w:rFonts w:ascii="Tahoma" w:hAnsi="Tahoma"/>
        </w:rPr>
        <w:t xml:space="preserve">; e a EMPRESA PREMIADA </w:t>
      </w:r>
      <w:r>
        <w:rPr>
          <w:color w:val="FF0000"/>
        </w:rPr>
        <w:t>[CONTEMPLADO]</w:t>
      </w:r>
      <w:r>
        <w:t xml:space="preserve">, CNPJ nº </w:t>
      </w:r>
      <w:r>
        <w:rPr>
          <w:color w:val="FF0000"/>
        </w:rPr>
        <w:t>[INDIC</w:t>
      </w:r>
      <w:r>
        <w:rPr>
          <w:color w:val="FF0000"/>
        </w:rPr>
        <w:t>AR Nº DO CNPJ]</w:t>
      </w:r>
      <w:r>
        <w:t xml:space="preserve">, com sede à </w:t>
      </w:r>
      <w:r>
        <w:rPr>
          <w:color w:val="FF0000"/>
        </w:rPr>
        <w:t xml:space="preserve">[INDICAR </w:t>
      </w:r>
      <w:r>
        <w:rPr>
          <w:color w:val="FF0000"/>
        </w:rPr>
        <w:t>ENDEREÇO]</w:t>
      </w:r>
      <w:r>
        <w:t xml:space="preserve">, CEP: </w:t>
      </w:r>
      <w:r>
        <w:rPr>
          <w:color w:val="FF0000"/>
        </w:rPr>
        <w:t>[INDICAR CEP]</w:t>
      </w:r>
      <w:r>
        <w:t xml:space="preserve">, telefones: </w:t>
      </w:r>
      <w:r>
        <w:rPr>
          <w:color w:val="FF0000"/>
        </w:rPr>
        <w:t>[INDICAR TELEFONES]</w:t>
      </w:r>
      <w:r>
        <w:t>, resolvem firmar o presente Termo de Execução Cultural, de acordo com as seguintes condições:</w:t>
      </w:r>
    </w:p>
    <w:p w14:paraId="1FF1B763" w14:textId="77777777" w:rsidR="007567AF" w:rsidRDefault="00E16BB7">
      <w:pPr>
        <w:spacing w:after="100"/>
        <w:ind w:right="-1"/>
        <w:jc w:val="both"/>
        <w:rPr>
          <w:b/>
        </w:rPr>
      </w:pPr>
      <w:r>
        <w:rPr>
          <w:b/>
        </w:rPr>
        <w:t>2. PROCEDIMENTO</w:t>
      </w:r>
    </w:p>
    <w:p w14:paraId="171525A3" w14:textId="77777777" w:rsidR="007567AF" w:rsidRDefault="00E16BB7">
      <w:pPr>
        <w:spacing w:after="100"/>
        <w:ind w:right="-1"/>
        <w:jc w:val="both"/>
      </w:pPr>
      <w:r>
        <w:t>2.1 Este Termo de Execução Cultural é instrumento da modalidade de fomento à execução de ações culturais de que trata o inciso I do art. 8 do Decreto 11.453/2023, celebrado com agente cultural selecionado nos termos da LEI COMPLEMENTAR Nº 195/2022 (LEI PAULO GUSTAVO), DO DECRETO N. 11.525/2023 (DECRETO PAULO GUSTAVO) E DO DECRETO 11.453/2023 (DECRETO DE FOMENTO).</w:t>
      </w:r>
    </w:p>
    <w:p w14:paraId="21519B6F" w14:textId="77777777" w:rsidR="007567AF" w:rsidRDefault="00E16BB7">
      <w:pPr>
        <w:spacing w:after="100"/>
        <w:ind w:right="-1"/>
        <w:jc w:val="both"/>
        <w:rPr>
          <w:b/>
        </w:rPr>
      </w:pPr>
      <w:r>
        <w:rPr>
          <w:b/>
        </w:rPr>
        <w:t>3. OBJETO</w:t>
      </w:r>
    </w:p>
    <w:p w14:paraId="52C4B429" w14:textId="77777777" w:rsidR="007567AF" w:rsidRDefault="00E16BB7">
      <w:pPr>
        <w:spacing w:after="100"/>
        <w:ind w:right="-1"/>
        <w:jc w:val="both"/>
      </w:pPr>
      <w:r>
        <w:t xml:space="preserve">3.1. Este Termo de Execução Cultural tem por objeto a concessão de apoio financeiro ao projeto cultural </w:t>
      </w:r>
      <w:r>
        <w:rPr>
          <w:color w:val="FF0000"/>
        </w:rPr>
        <w:t>[INDICAR NOME DO PROJETO]</w:t>
      </w:r>
      <w:r>
        <w:t xml:space="preserve">, contemplado no conforme processo administrativo nº </w:t>
      </w:r>
      <w:r>
        <w:rPr>
          <w:color w:val="FF0000"/>
        </w:rPr>
        <w:t>[INDICAR NÚMERO DO PROCESSO]</w:t>
      </w:r>
      <w:r>
        <w:t>.</w:t>
      </w:r>
    </w:p>
    <w:p w14:paraId="5F4063A2" w14:textId="77777777" w:rsidR="007567AF" w:rsidRDefault="00E16BB7">
      <w:pPr>
        <w:spacing w:after="100"/>
        <w:ind w:right="-1"/>
        <w:jc w:val="both"/>
        <w:rPr>
          <w:b/>
        </w:rPr>
      </w:pPr>
      <w:r>
        <w:rPr>
          <w:b/>
        </w:rPr>
        <w:t>4. RECURSOS FINANCEIROS</w:t>
      </w:r>
    </w:p>
    <w:p w14:paraId="443B166B" w14:textId="77777777" w:rsidR="007567AF" w:rsidRDefault="00E16BB7">
      <w:pPr>
        <w:spacing w:after="100"/>
        <w:ind w:right="-1"/>
        <w:jc w:val="both"/>
      </w:pPr>
      <w:r>
        <w:t xml:space="preserve">4.1. Os recursos financeiros para a execução do presente termo totalizam o montante de R$ </w:t>
      </w:r>
      <w:r>
        <w:rPr>
          <w:color w:val="FF0000"/>
        </w:rPr>
        <w:t>[INDICAR VALOR EM NÚMERO ARÁBICOS] ([INDICAR VALOR POR EXTENSO] reais)</w:t>
      </w:r>
      <w:r>
        <w:t>.</w:t>
      </w:r>
    </w:p>
    <w:p w14:paraId="29D7D52C" w14:textId="77777777" w:rsidR="007567AF" w:rsidRDefault="00E16BB7">
      <w:pPr>
        <w:spacing w:after="100"/>
        <w:ind w:right="-1"/>
        <w:jc w:val="both"/>
      </w:pPr>
      <w:r>
        <w:t xml:space="preserve">4.2. Serão transferidos à conta da EMPRESA PREMIADA, especialmente aberta no </w:t>
      </w:r>
      <w:r>
        <w:rPr>
          <w:color w:val="FF0000"/>
        </w:rPr>
        <w:t>[NOME DO BANCO]</w:t>
      </w:r>
      <w:r>
        <w:t xml:space="preserve">, Agência </w:t>
      </w:r>
      <w:r>
        <w:rPr>
          <w:color w:val="FF0000"/>
        </w:rPr>
        <w:t>[INDICAR AGÊNCIA]</w:t>
      </w:r>
      <w:r>
        <w:t xml:space="preserve">, Conta Corrente nº </w:t>
      </w:r>
      <w:r>
        <w:rPr>
          <w:color w:val="FF0000"/>
        </w:rPr>
        <w:t>[INDICAR CONTA]</w:t>
      </w:r>
      <w:r>
        <w:t>, para recebimento e movimentação.</w:t>
      </w:r>
    </w:p>
    <w:p w14:paraId="5819CBB4" w14:textId="77777777" w:rsidR="007567AF" w:rsidRDefault="00E16BB7">
      <w:pPr>
        <w:spacing w:after="100"/>
        <w:ind w:right="-1"/>
        <w:jc w:val="both"/>
      </w:pPr>
      <w:r>
        <w:rPr>
          <w:b/>
        </w:rPr>
        <w:t>5. APLICAÇÃO DOS RECURSOS</w:t>
      </w:r>
    </w:p>
    <w:p w14:paraId="70A8A69C" w14:textId="77777777" w:rsidR="007567AF" w:rsidRDefault="00E16BB7">
      <w:pPr>
        <w:spacing w:after="100"/>
        <w:ind w:right="-1"/>
        <w:jc w:val="both"/>
      </w:pPr>
      <w:r>
        <w:t>5.1 Os rendimentos de ativos financeiros poderão ser aplicados para o alcance do objeto, sem a necessidade de autorização prévia.</w:t>
      </w:r>
    </w:p>
    <w:p w14:paraId="110C8FEF" w14:textId="77777777" w:rsidR="007567AF" w:rsidRDefault="00E16BB7">
      <w:pPr>
        <w:spacing w:after="100"/>
        <w:ind w:right="-1"/>
        <w:jc w:val="both"/>
        <w:rPr>
          <w:b/>
        </w:rPr>
      </w:pPr>
      <w:r>
        <w:rPr>
          <w:b/>
        </w:rPr>
        <w:lastRenderedPageBreak/>
        <w:t>6. OBRIGAÇÕES</w:t>
      </w:r>
    </w:p>
    <w:p w14:paraId="29FA6E9C" w14:textId="77777777" w:rsidR="007567AF" w:rsidRDefault="00E16BB7">
      <w:pPr>
        <w:spacing w:after="100"/>
        <w:ind w:right="-1"/>
        <w:jc w:val="both"/>
        <w:rPr>
          <w:color w:val="FF0000"/>
        </w:rPr>
      </w:pPr>
      <w:r>
        <w:t>6.1 São obrigações da FUNDAÇÃO CULTURAL DO MUNICÍPIO DE BELÉM:</w:t>
      </w:r>
    </w:p>
    <w:p w14:paraId="077225A6" w14:textId="77777777" w:rsidR="007567AF" w:rsidRDefault="00E16BB7">
      <w:pPr>
        <w:spacing w:after="100"/>
        <w:ind w:right="-1"/>
        <w:jc w:val="both"/>
      </w:pPr>
      <w:r>
        <w:t>I) transferir os recursos à EMPRESA PREMIADA;</w:t>
      </w:r>
    </w:p>
    <w:p w14:paraId="411B1604" w14:textId="77777777" w:rsidR="007567AF" w:rsidRDefault="00E16BB7">
      <w:pPr>
        <w:spacing w:after="100"/>
        <w:ind w:right="-1"/>
        <w:jc w:val="both"/>
      </w:pPr>
      <w:r>
        <w:t>II) orientar a EMPRESA PREMIADA sobre o procedimento para a prestação de informações dos recursos concedidos;</w:t>
      </w:r>
    </w:p>
    <w:p w14:paraId="47286095" w14:textId="77777777" w:rsidR="007567AF" w:rsidRDefault="00E16BB7">
      <w:pPr>
        <w:spacing w:after="100"/>
        <w:ind w:right="-1"/>
        <w:jc w:val="both"/>
      </w:pPr>
      <w:r>
        <w:t xml:space="preserve">III) </w:t>
      </w:r>
      <w:r>
        <w:t>analisar e emitir parecer sobre os relatórios e sobre a prestação de informações apresentados pela EMPRESA PREMIADA;</w:t>
      </w:r>
    </w:p>
    <w:p w14:paraId="730E18C1" w14:textId="77777777" w:rsidR="007567AF" w:rsidRDefault="00E16BB7">
      <w:pPr>
        <w:spacing w:after="100"/>
        <w:ind w:right="-1"/>
        <w:jc w:val="both"/>
      </w:pPr>
      <w:r>
        <w:t>IV) zelar pelo fiel cumprimento deste termo de execução cultural;</w:t>
      </w:r>
    </w:p>
    <w:p w14:paraId="7ED8A224" w14:textId="77777777" w:rsidR="007567AF" w:rsidRDefault="00E16BB7">
      <w:pPr>
        <w:spacing w:after="100"/>
        <w:ind w:right="-1"/>
        <w:jc w:val="both"/>
      </w:pPr>
      <w:r>
        <w:t xml:space="preserve">V) adotar medidas saneadoras e corretivas quando houver </w:t>
      </w:r>
      <w:r>
        <w:t>inadimplemento;</w:t>
      </w:r>
    </w:p>
    <w:p w14:paraId="57D12CFF" w14:textId="77777777" w:rsidR="007567AF" w:rsidRDefault="00E16BB7">
      <w:pPr>
        <w:spacing w:after="100"/>
        <w:ind w:right="-1"/>
        <w:jc w:val="both"/>
      </w:pPr>
      <w:r>
        <w:t>VI) monitorar o cumprimento pela EMPRESA PREMIADA das obrigações previstas na CLÁUSULA 6.2.</w:t>
      </w:r>
    </w:p>
    <w:p w14:paraId="0EB81E76" w14:textId="77777777" w:rsidR="007567AF" w:rsidRDefault="00E16BB7">
      <w:pPr>
        <w:spacing w:after="100"/>
        <w:ind w:right="-1"/>
        <w:jc w:val="both"/>
      </w:pPr>
      <w:r>
        <w:t>6.2 São obrigações da EMPRESA PREMIADA:</w:t>
      </w:r>
    </w:p>
    <w:p w14:paraId="487556F4" w14:textId="77777777" w:rsidR="007567AF" w:rsidRDefault="00E16BB7">
      <w:pPr>
        <w:spacing w:after="100"/>
        <w:ind w:right="-1"/>
        <w:jc w:val="both"/>
      </w:pPr>
      <w:r>
        <w:t>I) executar a ação cultural aprovada;</w:t>
      </w:r>
    </w:p>
    <w:p w14:paraId="5895B06C" w14:textId="77777777" w:rsidR="007567AF" w:rsidRDefault="00E16BB7">
      <w:pPr>
        <w:spacing w:after="100"/>
        <w:ind w:right="-1"/>
        <w:jc w:val="both"/>
      </w:pPr>
      <w:r>
        <w:t>II) aplicar os recursos concedidos pela Lei Paulo Gustavo na realização da ação cultural;</w:t>
      </w:r>
    </w:p>
    <w:p w14:paraId="019DFAA7" w14:textId="77777777" w:rsidR="007567AF" w:rsidRDefault="00E16BB7">
      <w:pPr>
        <w:spacing w:after="100"/>
        <w:ind w:right="-1"/>
        <w:jc w:val="both"/>
      </w:pPr>
      <w:r>
        <w:t>III) manter, obrigatória e exclusivamente, os recursos financeiros depositados na conta especialmente aberta para o Termo de Execução Cultural;</w:t>
      </w:r>
    </w:p>
    <w:p w14:paraId="24A57CDC" w14:textId="77777777" w:rsidR="007567AF" w:rsidRDefault="00E16BB7">
      <w:pPr>
        <w:spacing w:after="100"/>
        <w:ind w:right="-1"/>
        <w:jc w:val="both"/>
      </w:pPr>
      <w:r>
        <w:t>IV) facilitar o monitoramento, o controle e supervisão do termo de execução cultural bem como o acesso ao local de realização da ação cultural;</w:t>
      </w:r>
    </w:p>
    <w:p w14:paraId="7BB3D37E" w14:textId="77777777" w:rsidR="007567AF" w:rsidRDefault="00E16BB7">
      <w:pPr>
        <w:spacing w:after="100"/>
        <w:ind w:right="-1"/>
        <w:jc w:val="both"/>
      </w:pPr>
      <w:r>
        <w:t>V) prestar informações à</w:t>
      </w:r>
      <w:r>
        <w:rPr>
          <w:color w:val="FF0000"/>
        </w:rPr>
        <w:t xml:space="preserve"> </w:t>
      </w:r>
      <w:r>
        <w:t>FUNDAÇÃO CULTURAL DO MUNICÍPIO DE BELÉM por meio de Relatório de Execução do Objeto, apresentado no prazo máximo de até 31 de dezembro de 2024, contados do término da vigência do termo de execução cultural;</w:t>
      </w:r>
    </w:p>
    <w:p w14:paraId="3CC590BB" w14:textId="77777777" w:rsidR="007567AF" w:rsidRDefault="00E16BB7">
      <w:pPr>
        <w:spacing w:after="100"/>
        <w:ind w:right="-1"/>
        <w:jc w:val="both"/>
      </w:pPr>
      <w:r>
        <w:t>VI) atender a qualquer solicitação regular feita pela FUNDAÇÃO CULTURAL DO MUNICÍPIO DE BELÉM, a contar do recebimento da notificação;</w:t>
      </w:r>
    </w:p>
    <w:p w14:paraId="024E3339" w14:textId="77777777" w:rsidR="007567AF" w:rsidRDefault="00E16BB7">
      <w:pPr>
        <w:spacing w:after="100"/>
        <w:ind w:right="-1"/>
        <w:jc w:val="both"/>
      </w:pPr>
      <w:r>
        <w:t>VII) divulgar nos meios de comunicação, a informação de que a ação cultural aprovada é apoiada com recursos da Lei Paulo Gustavo, incluindo as marcas da FUNDAÇÃO CULTURAL DO MUNICÍPIO DE BELÉM, da Prefeitura Município De Belém e do Governo federal, de acordo com as orientações técnicas do manual de aplicação de marcas divulgado pelo Ministério da Cultura;</w:t>
      </w:r>
    </w:p>
    <w:p w14:paraId="0D0FCAA8" w14:textId="77777777" w:rsidR="007567AF" w:rsidRDefault="00E16BB7">
      <w:pPr>
        <w:spacing w:after="100"/>
        <w:ind w:right="-1"/>
        <w:jc w:val="both"/>
      </w:pPr>
      <w:r>
        <w:t>VIII) não realizar despesa em data anterior ou posterior à vigência deste termo de execução cultural;</w:t>
      </w:r>
    </w:p>
    <w:p w14:paraId="31DE444F" w14:textId="77777777" w:rsidR="007567AF" w:rsidRDefault="00E16BB7">
      <w:pPr>
        <w:spacing w:after="100"/>
        <w:ind w:right="-1"/>
        <w:jc w:val="both"/>
      </w:pPr>
      <w:r>
        <w:t>IX) guardar a documentação referente à prestação de informações pelo prazo de 10 anos, contados do fim da vigência deste Termo de Execução Cultural;</w:t>
      </w:r>
    </w:p>
    <w:p w14:paraId="36EF5ACA" w14:textId="77777777" w:rsidR="007567AF" w:rsidRDefault="00E16BB7">
      <w:pPr>
        <w:spacing w:after="100"/>
        <w:ind w:right="-1"/>
        <w:jc w:val="both"/>
      </w:pPr>
      <w:r>
        <w:t>X) não utilizar os recursos para finalidade diversa da estabelecida no projeto cultural;</w:t>
      </w:r>
    </w:p>
    <w:p w14:paraId="177AC8A5" w14:textId="77777777" w:rsidR="007567AF" w:rsidRDefault="00E16BB7">
      <w:pPr>
        <w:spacing w:after="100"/>
        <w:ind w:right="-1"/>
        <w:jc w:val="both"/>
      </w:pPr>
      <w:r>
        <w:t>XI) executar a contrapartida conforme pactuado.</w:t>
      </w:r>
    </w:p>
    <w:p w14:paraId="5C702839" w14:textId="77777777" w:rsidR="007567AF" w:rsidRDefault="00E16BB7">
      <w:pPr>
        <w:spacing w:after="100"/>
        <w:ind w:right="-1"/>
        <w:jc w:val="both"/>
        <w:rPr>
          <w:b/>
        </w:rPr>
      </w:pPr>
      <w:r>
        <w:rPr>
          <w:b/>
        </w:rPr>
        <w:t>7. PRESTAÇÃO DE INFORMAÇÕES</w:t>
      </w:r>
    </w:p>
    <w:p w14:paraId="55C3FB15" w14:textId="77777777" w:rsidR="007567AF" w:rsidRDefault="00E16BB7">
      <w:pPr>
        <w:spacing w:after="100"/>
        <w:ind w:right="-1"/>
        <w:jc w:val="both"/>
      </w:pPr>
      <w:r>
        <w:t>7.1 A EMPRESA PREMIADA prestará contas à administração pública por meio da categoria de prestação de informações em relatório de execução do objeto.</w:t>
      </w:r>
    </w:p>
    <w:p w14:paraId="5A842F71" w14:textId="77777777" w:rsidR="007567AF" w:rsidRDefault="00E16BB7">
      <w:pPr>
        <w:spacing w:after="100"/>
        <w:ind w:right="-1"/>
        <w:jc w:val="both"/>
      </w:pPr>
      <w:r>
        <w:t>7.2 A prestação de informações em relatório de execução do objeto comprovará que foram alcançados os resultados da ação cultural, por meio dos seguintes procedimentos:</w:t>
      </w:r>
    </w:p>
    <w:p w14:paraId="1C1CE196" w14:textId="77777777" w:rsidR="007567AF" w:rsidRDefault="00E16BB7">
      <w:pPr>
        <w:spacing w:after="100"/>
        <w:ind w:right="-1"/>
        <w:jc w:val="both"/>
        <w:rPr>
          <w:b/>
          <w:color w:val="FF0000"/>
        </w:rPr>
      </w:pPr>
      <w:r>
        <w:lastRenderedPageBreak/>
        <w:t xml:space="preserve">I - </w:t>
      </w:r>
      <w:proofErr w:type="gramStart"/>
      <w:r>
        <w:t>apresentação</w:t>
      </w:r>
      <w:proofErr w:type="gramEnd"/>
      <w:r>
        <w:t xml:space="preserve"> de relatório de execução do objeto pelo beneficiário no prazo estabelecido pelo ente federativo no regulamento ou no instrumento de seleção; </w:t>
      </w:r>
    </w:p>
    <w:p w14:paraId="1B0701AC" w14:textId="77777777" w:rsidR="007567AF" w:rsidRDefault="00E16BB7">
      <w:pPr>
        <w:spacing w:after="100"/>
        <w:ind w:right="-1"/>
        <w:jc w:val="both"/>
      </w:pPr>
      <w:r>
        <w:t xml:space="preserve">II - </w:t>
      </w:r>
      <w:proofErr w:type="gramStart"/>
      <w:r>
        <w:t>análise</w:t>
      </w:r>
      <w:proofErr w:type="gramEnd"/>
      <w:r>
        <w:t xml:space="preserve"> do relatório de execução do objeto por agente público designado.</w:t>
      </w:r>
    </w:p>
    <w:p w14:paraId="76D7F694" w14:textId="77777777" w:rsidR="007567AF" w:rsidRDefault="00E16BB7">
      <w:pPr>
        <w:spacing w:after="100"/>
        <w:ind w:right="-1"/>
        <w:jc w:val="both"/>
      </w:pPr>
      <w:r>
        <w:t>7.2.1 O relatório de prestação de informações sobre o cumprimento do objeto deverá:</w:t>
      </w:r>
    </w:p>
    <w:p w14:paraId="561B7676" w14:textId="77777777" w:rsidR="007567AF" w:rsidRDefault="00E16BB7">
      <w:pPr>
        <w:spacing w:after="100"/>
        <w:ind w:right="-1"/>
        <w:jc w:val="both"/>
      </w:pPr>
      <w:r>
        <w:t xml:space="preserve">I - </w:t>
      </w:r>
      <w:proofErr w:type="gramStart"/>
      <w:r>
        <w:t>comprovar</w:t>
      </w:r>
      <w:proofErr w:type="gramEnd"/>
      <w:r>
        <w:t xml:space="preserve"> que foram alcançados os resultados da ação cultural;</w:t>
      </w:r>
    </w:p>
    <w:p w14:paraId="769C7FE1" w14:textId="77777777" w:rsidR="007567AF" w:rsidRDefault="00E16BB7">
      <w:pPr>
        <w:spacing w:after="100"/>
        <w:ind w:right="-1"/>
        <w:jc w:val="both"/>
      </w:pPr>
      <w:r>
        <w:t xml:space="preserve">II - </w:t>
      </w:r>
      <w:proofErr w:type="gramStart"/>
      <w:r>
        <w:t>conter</w:t>
      </w:r>
      <w:proofErr w:type="gramEnd"/>
      <w:r>
        <w:t xml:space="preserve"> a descrição das ações desenvolvidas para o cumprimento do objeto;</w:t>
      </w:r>
    </w:p>
    <w:p w14:paraId="6CE2D3F8" w14:textId="77777777" w:rsidR="007567AF" w:rsidRDefault="00E16BB7">
      <w:pPr>
        <w:spacing w:after="100"/>
        <w:ind w:right="-1"/>
        <w:jc w:val="both"/>
      </w:pPr>
      <w:r>
        <w:t>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w:t>
      </w:r>
    </w:p>
    <w:p w14:paraId="54EACD66" w14:textId="77777777" w:rsidR="007567AF" w:rsidRDefault="00E16BB7">
      <w:pPr>
        <w:spacing w:after="100"/>
        <w:ind w:right="-1"/>
        <w:jc w:val="both"/>
      </w:pPr>
      <w:r>
        <w:t>7.2.2 O agente público competente elaborará parecer técnico de análise do relatório de execução do objeto e poderá adotar os seguintes procedimentos, de acordo com o caso concreto:</w:t>
      </w:r>
    </w:p>
    <w:p w14:paraId="4ED6A915" w14:textId="77777777" w:rsidR="007567AF" w:rsidRDefault="00E16BB7">
      <w:pPr>
        <w:spacing w:after="100"/>
        <w:ind w:right="-1"/>
        <w:jc w:val="both"/>
      </w:pPr>
      <w:r>
        <w:t xml:space="preserve">I - </w:t>
      </w:r>
      <w:proofErr w:type="gramStart"/>
      <w:r>
        <w:t>encaminhar</w:t>
      </w:r>
      <w:proofErr w:type="gramEnd"/>
      <w:r>
        <w:t xml:space="preserve"> o processo à autoridade responsável pelo julgamento da prestação de informações, caso conclua que houve o cumprimento integral do objeto; ou</w:t>
      </w:r>
    </w:p>
    <w:p w14:paraId="1C215B1B" w14:textId="77777777" w:rsidR="007567AF" w:rsidRDefault="00E16BB7">
      <w:pPr>
        <w:spacing w:after="100"/>
        <w:ind w:right="-1"/>
        <w:jc w:val="both"/>
      </w:pPr>
      <w:r>
        <w:t xml:space="preserve">II - </w:t>
      </w:r>
      <w:proofErr w:type="gramStart"/>
      <w:r>
        <w:t>solicitar</w:t>
      </w:r>
      <w:proofErr w:type="gramEnd"/>
      <w:r>
        <w:t xml:space="preserve"> a apresentação, pela EMPRESA PREMIADA, de relatório de execução financeira, caso considere que não foi possível aferir o cumprimento integral do objeto no relatório de execução do objeto ou que as justificativas apresentadas sobre o cumprimento parcial do objeto foram insuficientes.</w:t>
      </w:r>
    </w:p>
    <w:p w14:paraId="46B0D16E" w14:textId="77777777" w:rsidR="007567AF" w:rsidRDefault="00E16BB7">
      <w:pPr>
        <w:spacing w:after="100"/>
        <w:ind w:right="-1"/>
        <w:jc w:val="both"/>
      </w:pPr>
      <w:r>
        <w:t>7.2.3 Após o recebimento do processo pelo agente público de que trata o item 7.2.2, autoridade responsável pelo julgamento da prestação de informações poderá:</w:t>
      </w:r>
    </w:p>
    <w:p w14:paraId="085F52C3" w14:textId="77777777" w:rsidR="007567AF" w:rsidRDefault="00E16BB7">
      <w:pPr>
        <w:spacing w:after="100"/>
        <w:ind w:right="-1"/>
        <w:jc w:val="both"/>
      </w:pPr>
      <w:r>
        <w:t xml:space="preserve">I - </w:t>
      </w:r>
      <w:proofErr w:type="gramStart"/>
      <w:r>
        <w:t>determinar</w:t>
      </w:r>
      <w:proofErr w:type="gramEnd"/>
      <w:r>
        <w:t xml:space="preserve"> o arquivamento, caso considere que houve o cumprimento integral do objeto ou o cumprimento parcial justificado;</w:t>
      </w:r>
    </w:p>
    <w:p w14:paraId="4BF6C899" w14:textId="77777777" w:rsidR="007567AF" w:rsidRDefault="00E16BB7">
      <w:pPr>
        <w:spacing w:after="100"/>
        <w:ind w:right="-1"/>
        <w:jc w:val="both"/>
      </w:pPr>
      <w:r>
        <w:t xml:space="preserve">II - </w:t>
      </w:r>
      <w:proofErr w:type="gramStart"/>
      <w:r>
        <w:t>solicitar</w:t>
      </w:r>
      <w:proofErr w:type="gramEnd"/>
      <w:r>
        <w:t xml:space="preserve"> a apresentação, pela EMPRESA PREMIADA, de relatório de execução financeira, caso considere que não </w:t>
      </w:r>
      <w:r>
        <w:t>foi possível aferir o cumprimento integral do objeto no relatório de execução do objeto ou que as justificativas apresentadas sobre o cumprimento parcial do objeto foram insuficientes; ou</w:t>
      </w:r>
    </w:p>
    <w:p w14:paraId="557A738B" w14:textId="77777777" w:rsidR="007567AF" w:rsidRDefault="00E16BB7">
      <w:pPr>
        <w:spacing w:after="100"/>
        <w:ind w:right="-1"/>
        <w:jc w:val="both"/>
      </w:pPr>
      <w:r>
        <w:t>III - aplicar sanções ou decidir pela rejeição da prestação de informações, caso verifique que não houve o cumprimento integral do objeto ou o cumprimento parcial justificado, ou caso identifique irregularidades no relatório de execução financeira.</w:t>
      </w:r>
    </w:p>
    <w:p w14:paraId="55AF6CCB" w14:textId="77777777" w:rsidR="007567AF" w:rsidRDefault="00E16BB7">
      <w:pPr>
        <w:spacing w:after="100"/>
        <w:ind w:right="-1"/>
        <w:jc w:val="both"/>
      </w:pPr>
      <w:r>
        <w:t>7.3 O relatório de execução financeira será exigido, independente da modalidade inicial de prestação de informações (in loco ou em relatório de execução do objeto), somente nas seguintes hipóteses:</w:t>
      </w:r>
    </w:p>
    <w:p w14:paraId="45ED84A8" w14:textId="77777777" w:rsidR="007567AF" w:rsidRDefault="00E16BB7">
      <w:pPr>
        <w:spacing w:after="100"/>
        <w:ind w:right="-1"/>
        <w:jc w:val="both"/>
      </w:pPr>
      <w:r>
        <w:t xml:space="preserve">I - </w:t>
      </w:r>
      <w:proofErr w:type="gramStart"/>
      <w:r>
        <w:t>quando</w:t>
      </w:r>
      <w:proofErr w:type="gramEnd"/>
      <w:r>
        <w:t xml:space="preserve"> não estiver comprovado o cumprimento do objeto, observados os procedimentos previstos no item 7.2; ou</w:t>
      </w:r>
    </w:p>
    <w:p w14:paraId="440703DD" w14:textId="77777777" w:rsidR="007567AF" w:rsidRDefault="00E16BB7">
      <w:pPr>
        <w:spacing w:after="100"/>
        <w:ind w:right="-1"/>
        <w:jc w:val="both"/>
      </w:pPr>
      <w:r>
        <w:t xml:space="preserve">II - </w:t>
      </w:r>
      <w:proofErr w:type="gramStart"/>
      <w:r>
        <w:t>quando</w:t>
      </w:r>
      <w:proofErr w:type="gramEnd"/>
      <w:r>
        <w:t xml:space="preserve"> for recebida, pela administração pública, denúncia de irregularidade na execução da ação cultural, mediante juízo de admissibilidade que avaliará os elementos fáticos apresentados.</w:t>
      </w:r>
    </w:p>
    <w:p w14:paraId="5C2BFF2A" w14:textId="77777777" w:rsidR="007567AF" w:rsidRDefault="00E16BB7">
      <w:pPr>
        <w:spacing w:after="100"/>
        <w:ind w:right="-1"/>
        <w:jc w:val="both"/>
      </w:pPr>
      <w:r>
        <w:t>7.3.1 O prazo para apresentação do relatório de execução financeira será de, no mínimo, trinta dias, contado do recebimento da notificação.</w:t>
      </w:r>
    </w:p>
    <w:p w14:paraId="1EE8CBD8" w14:textId="77777777" w:rsidR="007567AF" w:rsidRDefault="00E16BB7">
      <w:pPr>
        <w:spacing w:after="100"/>
        <w:ind w:right="-1"/>
        <w:jc w:val="both"/>
      </w:pPr>
      <w:r>
        <w:lastRenderedPageBreak/>
        <w:t>7.4 O julgamento da prestação de informações realizado pela autoridade do ente federativo que celebrou o termo de execução cultural avaliará o parecer técnico de análise de prestação de informações e poderá concluir pela:</w:t>
      </w:r>
    </w:p>
    <w:p w14:paraId="63E0F249" w14:textId="77777777" w:rsidR="007567AF" w:rsidRDefault="00E16BB7">
      <w:pPr>
        <w:spacing w:after="100"/>
        <w:ind w:right="-1"/>
        <w:jc w:val="both"/>
      </w:pPr>
      <w:r>
        <w:t xml:space="preserve">I - </w:t>
      </w:r>
      <w:proofErr w:type="gramStart"/>
      <w:r>
        <w:t>aprovação</w:t>
      </w:r>
      <w:proofErr w:type="gramEnd"/>
      <w:r>
        <w:t xml:space="preserve"> da prestação de informações, com ou sem ressalvas; ou</w:t>
      </w:r>
    </w:p>
    <w:p w14:paraId="47BBCC09" w14:textId="77777777" w:rsidR="007567AF" w:rsidRDefault="00E16BB7">
      <w:pPr>
        <w:spacing w:after="100"/>
        <w:ind w:right="-1"/>
        <w:jc w:val="both"/>
      </w:pPr>
      <w:r>
        <w:t xml:space="preserve">II - </w:t>
      </w:r>
      <w:proofErr w:type="gramStart"/>
      <w:r>
        <w:t>reprovação</w:t>
      </w:r>
      <w:proofErr w:type="gramEnd"/>
      <w:r>
        <w:t xml:space="preserve"> da prestação de informações, parcial ou total.</w:t>
      </w:r>
    </w:p>
    <w:p w14:paraId="0A8F563B" w14:textId="77777777" w:rsidR="007567AF" w:rsidRDefault="00E16BB7">
      <w:pPr>
        <w:spacing w:after="100"/>
        <w:ind w:right="-1"/>
        <w:jc w:val="both"/>
      </w:pPr>
      <w:r>
        <w:t>7.5 Na hipótese de o julgamento da prestação de informações apontar a necessidade de devolução de recursos, o agente cultural será notificado para que exerça a opção por:</w:t>
      </w:r>
    </w:p>
    <w:p w14:paraId="37EBCA8F" w14:textId="77777777" w:rsidR="007567AF" w:rsidRDefault="00E16BB7">
      <w:pPr>
        <w:spacing w:after="100"/>
        <w:ind w:right="-1"/>
        <w:jc w:val="both"/>
      </w:pPr>
      <w:r>
        <w:t xml:space="preserve">I - </w:t>
      </w:r>
      <w:proofErr w:type="gramStart"/>
      <w:r>
        <w:t>devolução</w:t>
      </w:r>
      <w:proofErr w:type="gramEnd"/>
      <w:r>
        <w:t xml:space="preserve"> parcial ou integral dos recursos ao erário;</w:t>
      </w:r>
    </w:p>
    <w:p w14:paraId="6BC6A178" w14:textId="77777777" w:rsidR="007567AF" w:rsidRDefault="00E16BB7">
      <w:pPr>
        <w:spacing w:after="100"/>
        <w:ind w:right="-1"/>
        <w:jc w:val="both"/>
      </w:pPr>
      <w:r>
        <w:t xml:space="preserve">II - </w:t>
      </w:r>
      <w:proofErr w:type="gramStart"/>
      <w:r>
        <w:t>apresentação</w:t>
      </w:r>
      <w:proofErr w:type="gramEnd"/>
      <w:r>
        <w:t xml:space="preserve"> de plano de ações compensatórias; ou</w:t>
      </w:r>
    </w:p>
    <w:p w14:paraId="3E2D6A69" w14:textId="77777777" w:rsidR="007567AF" w:rsidRDefault="00E16BB7">
      <w:pPr>
        <w:spacing w:after="100"/>
        <w:ind w:right="-1"/>
        <w:jc w:val="both"/>
      </w:pPr>
      <w:r>
        <w:t xml:space="preserve">III - devolução parcial dos recursos ao erário juntamente com a </w:t>
      </w:r>
      <w:r>
        <w:t>apresentação de plano de ações compensatórias.</w:t>
      </w:r>
    </w:p>
    <w:p w14:paraId="6F5814AF" w14:textId="77777777" w:rsidR="007567AF" w:rsidRDefault="00E16BB7">
      <w:pPr>
        <w:spacing w:after="100"/>
        <w:ind w:right="-1"/>
        <w:jc w:val="both"/>
      </w:pPr>
      <w:r>
        <w:t>7.5.1 A ocorrência de caso fortuito ou força maior impeditiva da execução do instrumento afasta a reprovação da prestação de informações, desde que comprovada.</w:t>
      </w:r>
    </w:p>
    <w:p w14:paraId="211E75E9" w14:textId="77777777" w:rsidR="007567AF" w:rsidRDefault="00E16BB7">
      <w:pPr>
        <w:spacing w:after="100"/>
        <w:ind w:right="-1"/>
        <w:jc w:val="both"/>
      </w:pPr>
      <w:r>
        <w:t>7.5.2 Nos casos em que estiver caracterizada má-fé da EMPRESA PREMIADA será imediatamente exigida a devolução de recursos ao erário, vedada a aceitação de plano de ações compensatórias.</w:t>
      </w:r>
    </w:p>
    <w:p w14:paraId="289E3AB2" w14:textId="77777777" w:rsidR="007567AF" w:rsidRDefault="00E16BB7">
      <w:pPr>
        <w:spacing w:after="100"/>
        <w:ind w:right="-1"/>
        <w:jc w:val="both"/>
      </w:pPr>
      <w:r>
        <w:t>7.5.3 Nos casos em que houver exigência de devolução de recursos ao erário, a EMPRESA PREMIADA poderá solicitar o parcelamento do débito, na forma e nas condições previstas na legislação.</w:t>
      </w:r>
    </w:p>
    <w:p w14:paraId="593E8A57" w14:textId="77777777" w:rsidR="007567AF" w:rsidRDefault="00E16BB7">
      <w:pPr>
        <w:spacing w:after="100"/>
        <w:ind w:right="-1"/>
        <w:jc w:val="both"/>
      </w:pPr>
      <w:r>
        <w:t>7.5.4 O prazo de execução do plano de ações compensatórias será o menor possível, conforme o caso concreto, limitado à metade do prazo originalmente previsto de vigência do instrumento.</w:t>
      </w:r>
    </w:p>
    <w:p w14:paraId="4F4E16FA" w14:textId="77777777" w:rsidR="007567AF" w:rsidRDefault="00E16BB7">
      <w:pPr>
        <w:spacing w:after="100"/>
        <w:ind w:right="-1"/>
        <w:jc w:val="both"/>
        <w:rPr>
          <w:b/>
        </w:rPr>
      </w:pPr>
      <w:r>
        <w:rPr>
          <w:b/>
        </w:rPr>
        <w:t>8. ALTERAÇÃO DO TERMO DE EXECUÇÃO CULTURAL</w:t>
      </w:r>
    </w:p>
    <w:p w14:paraId="01D459D4" w14:textId="77777777" w:rsidR="007567AF" w:rsidRDefault="00E16BB7">
      <w:pPr>
        <w:spacing w:after="100"/>
        <w:ind w:right="-1"/>
        <w:jc w:val="both"/>
      </w:pPr>
      <w:r>
        <w:t>8.1 A alteração do termo de execução cultural será formalizada por meio de termo aditivo.</w:t>
      </w:r>
    </w:p>
    <w:p w14:paraId="4A86C7CC" w14:textId="77777777" w:rsidR="007567AF" w:rsidRDefault="00E16BB7">
      <w:pPr>
        <w:spacing w:after="100"/>
        <w:ind w:right="-1"/>
        <w:jc w:val="both"/>
      </w:pPr>
      <w:r>
        <w:t>8.2 A formalização de termo aditivo não será necessária nas seguintes hipóteses:</w:t>
      </w:r>
    </w:p>
    <w:p w14:paraId="2FABB647" w14:textId="77777777" w:rsidR="007567AF" w:rsidRDefault="00E16BB7">
      <w:pPr>
        <w:spacing w:after="100"/>
        <w:ind w:right="-1"/>
        <w:jc w:val="both"/>
      </w:pPr>
      <w:r>
        <w:t xml:space="preserve">I - </w:t>
      </w:r>
      <w:proofErr w:type="gramStart"/>
      <w:r>
        <w:t>prorrogação</w:t>
      </w:r>
      <w:proofErr w:type="gramEnd"/>
      <w:r>
        <w:t xml:space="preserve"> de vigência realizada de ofício pela administração pública quando der causa a atraso na liberação de recursos; e</w:t>
      </w:r>
    </w:p>
    <w:p w14:paraId="697C921D" w14:textId="77777777" w:rsidR="007567AF" w:rsidRDefault="00E16BB7">
      <w:pPr>
        <w:spacing w:after="100"/>
        <w:ind w:right="-1"/>
        <w:jc w:val="both"/>
      </w:pPr>
      <w:r>
        <w:t xml:space="preserve">II - </w:t>
      </w:r>
      <w:proofErr w:type="gramStart"/>
      <w:r>
        <w:t>alteração</w:t>
      </w:r>
      <w:proofErr w:type="gramEnd"/>
      <w:r>
        <w:t xml:space="preserve"> do projeto sem modificação do valor global do instrumento e sem modificação substancial do objeto.</w:t>
      </w:r>
    </w:p>
    <w:p w14:paraId="6AFE57F2" w14:textId="77777777" w:rsidR="007567AF" w:rsidRDefault="00E16BB7">
      <w:pPr>
        <w:spacing w:after="100"/>
        <w:ind w:right="-1"/>
        <w:jc w:val="both"/>
      </w:pPr>
      <w:r>
        <w:t>8.3 Na hipótese de prorrogação de vigência, o saldo de recursos será automaticamente mantido na conta, a fim de viabilizar a continuidade da execução do objeto.</w:t>
      </w:r>
    </w:p>
    <w:p w14:paraId="3A80D0F5" w14:textId="77777777" w:rsidR="007567AF" w:rsidRDefault="00E16BB7">
      <w:pPr>
        <w:spacing w:after="100"/>
        <w:ind w:right="-1"/>
        <w:jc w:val="both"/>
      </w:pPr>
      <w:r>
        <w:t>8.4 As alterações do projeto cujo escopo seja de, no máximo, 20% poderão ser realizadas pelo agente cultural e comunicadas à administração pública em seguida, sem a necessidade de autorização prévia.</w:t>
      </w:r>
    </w:p>
    <w:p w14:paraId="7ADD0C29" w14:textId="77777777" w:rsidR="007567AF" w:rsidRDefault="00E16BB7">
      <w:pPr>
        <w:spacing w:after="100"/>
        <w:ind w:right="-1"/>
        <w:jc w:val="both"/>
      </w:pPr>
      <w:r>
        <w:t>8.5 A aplicação de rendimentos de ativos financeiros em benefício do objeto do termo de execução cultural poderá ser realizada pela EMPRESA PREMIADA sem a necessidade de autorização prévia da administração pública.</w:t>
      </w:r>
    </w:p>
    <w:p w14:paraId="0D2873D7" w14:textId="77777777" w:rsidR="007567AF" w:rsidRDefault="00E16BB7">
      <w:pPr>
        <w:spacing w:after="100"/>
        <w:ind w:right="-1"/>
        <w:jc w:val="both"/>
      </w:pPr>
      <w:r>
        <w:t>8.6 Nas hipóteses de alterações em que não seja necessário termo aditivo, poderá ser realizado apostilamento.</w:t>
      </w:r>
    </w:p>
    <w:p w14:paraId="63F0A4CB" w14:textId="77777777" w:rsidR="007567AF" w:rsidRDefault="00E16BB7">
      <w:pPr>
        <w:spacing w:after="100"/>
        <w:ind w:right="-1"/>
        <w:jc w:val="both"/>
      </w:pPr>
      <w:r>
        <w:rPr>
          <w:b/>
        </w:rPr>
        <w:lastRenderedPageBreak/>
        <w:t>9. TITULARIDADE DE BENS</w:t>
      </w:r>
    </w:p>
    <w:p w14:paraId="21EEE799" w14:textId="77777777" w:rsidR="007567AF" w:rsidRDefault="00E16BB7">
      <w:pPr>
        <w:spacing w:after="100"/>
        <w:ind w:right="-1"/>
        <w:jc w:val="both"/>
      </w:pPr>
      <w:r>
        <w:t xml:space="preserve">9.1 Os bens permanentes adquiridos, produzidos ou transformados em decorrência da execução da ação </w:t>
      </w:r>
      <w:r>
        <w:t>cultural fomentada serão de titularidade da EMPRESA PREMIADA desde a data da sua aquisição.</w:t>
      </w:r>
    </w:p>
    <w:p w14:paraId="6537A8FA" w14:textId="77777777" w:rsidR="007567AF" w:rsidRDefault="00E16BB7">
      <w:pPr>
        <w:spacing w:after="100"/>
        <w:ind w:right="-1"/>
        <w:jc w:val="both"/>
      </w:pPr>
      <w:r>
        <w:t>9.2 Nos casos de rejeição da prestação de contas em razão da aquisição ou do uso do bem, o valor pago pela aquisição será computado no cálculo de valores a devolver, com atualização monetária.</w:t>
      </w:r>
    </w:p>
    <w:p w14:paraId="235A7B34" w14:textId="77777777" w:rsidR="007567AF" w:rsidRDefault="00E16BB7">
      <w:pPr>
        <w:spacing w:after="100"/>
        <w:ind w:right="-1"/>
        <w:jc w:val="both"/>
        <w:rPr>
          <w:b/>
        </w:rPr>
      </w:pPr>
      <w:r>
        <w:rPr>
          <w:b/>
        </w:rPr>
        <w:t>10. EXTINÇÃO DO TERMO DE EXECUÇÃO CULTURAL</w:t>
      </w:r>
    </w:p>
    <w:p w14:paraId="61354172" w14:textId="77777777" w:rsidR="007567AF" w:rsidRDefault="00E16BB7">
      <w:pPr>
        <w:spacing w:after="100"/>
        <w:ind w:right="-1"/>
        <w:jc w:val="both"/>
      </w:pPr>
      <w:r>
        <w:t>10.1 O presente Termo de Execução Cultural poderá ser:</w:t>
      </w:r>
    </w:p>
    <w:p w14:paraId="531C9E29" w14:textId="77777777" w:rsidR="007567AF" w:rsidRDefault="00E16BB7">
      <w:pPr>
        <w:spacing w:after="100"/>
        <w:ind w:right="-1"/>
        <w:jc w:val="both"/>
      </w:pPr>
      <w:r>
        <w:t xml:space="preserve">I - </w:t>
      </w:r>
      <w:proofErr w:type="gramStart"/>
      <w:r>
        <w:t>extinto</w:t>
      </w:r>
      <w:proofErr w:type="gramEnd"/>
      <w:r>
        <w:t xml:space="preserve"> por decurso de prazo;</w:t>
      </w:r>
    </w:p>
    <w:p w14:paraId="0BEC6C61" w14:textId="77777777" w:rsidR="007567AF" w:rsidRDefault="00E16BB7">
      <w:pPr>
        <w:spacing w:after="100"/>
        <w:ind w:right="-1"/>
        <w:jc w:val="both"/>
      </w:pPr>
      <w:r>
        <w:t xml:space="preserve">II - </w:t>
      </w:r>
      <w:proofErr w:type="gramStart"/>
      <w:r>
        <w:t>extinto</w:t>
      </w:r>
      <w:proofErr w:type="gramEnd"/>
      <w:r>
        <w:t>, de comum acordo antes do prazo avençado, mediante Termo de Distrato;</w:t>
      </w:r>
    </w:p>
    <w:p w14:paraId="080684C8" w14:textId="77777777" w:rsidR="007567AF" w:rsidRDefault="00E16BB7">
      <w:pPr>
        <w:spacing w:after="100"/>
        <w:ind w:right="-1"/>
        <w:jc w:val="both"/>
      </w:pPr>
      <w:r>
        <w:t>III - denunciado, por decisão unilateral de qualquer dos partícipes, independentemente de autorização judicial, mediante prévia notificação por escrito ao outro partícipe; ou</w:t>
      </w:r>
    </w:p>
    <w:p w14:paraId="7D20A154" w14:textId="77777777" w:rsidR="007567AF" w:rsidRDefault="00E16BB7">
      <w:pPr>
        <w:spacing w:after="100"/>
        <w:ind w:right="-1"/>
        <w:jc w:val="both"/>
      </w:pPr>
      <w:r>
        <w:t xml:space="preserve">IV - </w:t>
      </w:r>
      <w:proofErr w:type="gramStart"/>
      <w:r>
        <w:t>rescindido</w:t>
      </w:r>
      <w:proofErr w:type="gramEnd"/>
      <w:r>
        <w:t>, por decisão unilateral de qualquer dos partícipes, independentemente de autorização judicial, mediante prévia notificação por escrito ao outro partícipe, nas seguintes hipóteses:</w:t>
      </w:r>
    </w:p>
    <w:p w14:paraId="67DA07F4" w14:textId="77777777" w:rsidR="007567AF" w:rsidRDefault="00E16BB7">
      <w:pPr>
        <w:spacing w:after="100"/>
        <w:ind w:right="-1"/>
        <w:jc w:val="both"/>
      </w:pPr>
      <w:r>
        <w:t>a) descumprimento injustificado de cláusula deste instrumento;</w:t>
      </w:r>
    </w:p>
    <w:p w14:paraId="326FFFF9" w14:textId="77777777" w:rsidR="007567AF" w:rsidRDefault="00E16BB7">
      <w:pPr>
        <w:spacing w:after="100"/>
        <w:ind w:right="-1"/>
        <w:jc w:val="both"/>
      </w:pPr>
      <w:r>
        <w:t xml:space="preserve">b) irregularidade ou inexecução injustificada, ainda que parcial, do objeto, resultados ou metas </w:t>
      </w:r>
      <w:proofErr w:type="gramStart"/>
      <w:r>
        <w:t>pactuadas ;</w:t>
      </w:r>
      <w:proofErr w:type="gramEnd"/>
    </w:p>
    <w:p w14:paraId="0DBBAF41" w14:textId="77777777" w:rsidR="007567AF" w:rsidRDefault="00E16BB7">
      <w:pPr>
        <w:spacing w:after="100"/>
        <w:ind w:right="-1"/>
        <w:jc w:val="both"/>
      </w:pPr>
      <w:r>
        <w:t>c) violação da legislação aplicável;</w:t>
      </w:r>
    </w:p>
    <w:p w14:paraId="743F0223" w14:textId="77777777" w:rsidR="007567AF" w:rsidRDefault="00E16BB7">
      <w:pPr>
        <w:spacing w:after="100"/>
        <w:ind w:right="-1"/>
        <w:jc w:val="both"/>
      </w:pPr>
      <w:r>
        <w:t>d) cometimento de falhas reiteradas na execução;</w:t>
      </w:r>
    </w:p>
    <w:p w14:paraId="3041FB64" w14:textId="77777777" w:rsidR="007567AF" w:rsidRDefault="00E16BB7">
      <w:pPr>
        <w:spacing w:after="100"/>
        <w:ind w:right="-1"/>
        <w:jc w:val="both"/>
      </w:pPr>
      <w:r>
        <w:t>e) má administração de recursos públicos;</w:t>
      </w:r>
    </w:p>
    <w:p w14:paraId="6E55FCC6" w14:textId="77777777" w:rsidR="007567AF" w:rsidRDefault="00E16BB7">
      <w:pPr>
        <w:spacing w:after="100"/>
        <w:ind w:right="-1"/>
        <w:jc w:val="both"/>
      </w:pPr>
      <w:r>
        <w:t>f) constatação de falsidade ou fraude nas informações ou documentos apresentados;</w:t>
      </w:r>
    </w:p>
    <w:p w14:paraId="73CF22C6" w14:textId="77777777" w:rsidR="007567AF" w:rsidRDefault="00E16BB7">
      <w:pPr>
        <w:spacing w:after="100"/>
        <w:ind w:right="-1"/>
        <w:jc w:val="both"/>
      </w:pPr>
      <w:r>
        <w:t>g) não atendimento às recomendações ou determinações decorrentes da fiscalização;</w:t>
      </w:r>
    </w:p>
    <w:p w14:paraId="6C760707" w14:textId="77777777" w:rsidR="007567AF" w:rsidRDefault="00E16BB7">
      <w:pPr>
        <w:spacing w:after="100"/>
        <w:ind w:right="-1"/>
        <w:jc w:val="both"/>
      </w:pPr>
      <w:r>
        <w:t>h) outras hipóteses expressamente previstas na legislação aplicável.</w:t>
      </w:r>
    </w:p>
    <w:p w14:paraId="06F8968D" w14:textId="77777777" w:rsidR="007567AF" w:rsidRDefault="00E16BB7">
      <w:pPr>
        <w:spacing w:after="100"/>
        <w:ind w:right="-1"/>
        <w:jc w:val="both"/>
      </w:pPr>
      <w:r>
        <w:t>10.2 A denúncia só será eficaz 60 (sessenta) dias após a data de recebimento da notificação, ficando os partícipes responsáveis somente pelas obrigações e vantagens do tempo em que participaram voluntariamente da avença.</w:t>
      </w:r>
    </w:p>
    <w:p w14:paraId="09B44E35" w14:textId="77777777" w:rsidR="007567AF" w:rsidRDefault="00E16BB7">
      <w:pPr>
        <w:spacing w:after="100"/>
        <w:ind w:right="-1"/>
        <w:jc w:val="both"/>
      </w:pPr>
      <w:r>
        <w:t>10.3 Os casos de rescisão unilateral serão formalmente motivados nos autos do processo administrativo, assegurado o contraditório e a ampla defesa. O prazo de defesa será de 10 (dez) dias da abertura de vista do processo.</w:t>
      </w:r>
    </w:p>
    <w:p w14:paraId="6528F675" w14:textId="77777777" w:rsidR="007567AF" w:rsidRDefault="00E16BB7">
      <w:pPr>
        <w:spacing w:after="100"/>
        <w:ind w:right="-1"/>
        <w:jc w:val="both"/>
      </w:pPr>
      <w:r>
        <w:t xml:space="preserve">10.4 Na hipótese de irregularidade na execução do objeto que enseje </w:t>
      </w:r>
      <w:proofErr w:type="spellStart"/>
      <w:r>
        <w:t>dano</w:t>
      </w:r>
      <w:proofErr w:type="spellEnd"/>
      <w:r>
        <w:t xml:space="preserve"> ao erário, deverá ser instaurada Tomada de Contas Especial caso os valores relacionados à irregularidade não sejam devolvidos no prazo estabelecido pela Administração Pública.</w:t>
      </w:r>
    </w:p>
    <w:p w14:paraId="6F83D0F9" w14:textId="77777777" w:rsidR="007567AF" w:rsidRDefault="00E16BB7">
      <w:pPr>
        <w:spacing w:after="100"/>
        <w:ind w:right="-1"/>
        <w:jc w:val="both"/>
      </w:pPr>
      <w:r>
        <w:t xml:space="preserve">10.5 Outras situações relativas à extinção deste Termo não previstas na legislação aplicável ou neste instrumento poderão ser negociadas entre as partes ou, se for o caso, no Termo de Distrato. </w:t>
      </w:r>
    </w:p>
    <w:p w14:paraId="2EF4E4EE" w14:textId="77777777" w:rsidR="007567AF" w:rsidRDefault="00E16BB7">
      <w:pPr>
        <w:spacing w:after="100"/>
        <w:ind w:right="-1"/>
        <w:jc w:val="both"/>
        <w:rPr>
          <w:b/>
        </w:rPr>
      </w:pPr>
      <w:r>
        <w:rPr>
          <w:b/>
        </w:rPr>
        <w:t>11. SANÇÕES</w:t>
      </w:r>
    </w:p>
    <w:p w14:paraId="03FF5DB3" w14:textId="77777777" w:rsidR="007567AF" w:rsidRDefault="00E16BB7">
      <w:pPr>
        <w:spacing w:after="100"/>
        <w:ind w:right="-1"/>
        <w:jc w:val="both"/>
      </w:pPr>
      <w:proofErr w:type="gramStart"/>
      <w:r>
        <w:lastRenderedPageBreak/>
        <w:t>11.1 .</w:t>
      </w:r>
      <w:proofErr w:type="gramEnd"/>
      <w:r>
        <w:t xml:space="preserve"> Nos casos em que for verificado que a ação cultural ocorreu, mas houve inadequação na execução do objeto ou na execução financeira sem má-fé, a autoridade pode concluir pela aprovação da prestação de informações com ressalvas e aplicar sanção de advertência ou multa.</w:t>
      </w:r>
    </w:p>
    <w:p w14:paraId="76BA4A54" w14:textId="77777777" w:rsidR="007567AF" w:rsidRDefault="00E16BB7">
      <w:pPr>
        <w:spacing w:after="100"/>
        <w:ind w:right="-1"/>
        <w:jc w:val="both"/>
      </w:pPr>
      <w:r>
        <w:t>11.2 A decisão sobre a sanção deve ser precedida de abertura de prazo para apresentação de defesa pela EMPRESA PREMIADA.</w:t>
      </w:r>
    </w:p>
    <w:p w14:paraId="63C28275" w14:textId="77777777" w:rsidR="007567AF" w:rsidRDefault="00E16BB7">
      <w:pPr>
        <w:spacing w:after="100"/>
        <w:ind w:right="-1"/>
        <w:jc w:val="both"/>
      </w:pPr>
      <w:r>
        <w:t>11.3 A ocorrência de caso fortuito ou força maior impeditiva da execução do instrumento afasta a aplicação de sanção, desde que regularmente comprovada.</w:t>
      </w:r>
    </w:p>
    <w:p w14:paraId="3813ABC7" w14:textId="77777777" w:rsidR="007567AF" w:rsidRDefault="00E16BB7">
      <w:pPr>
        <w:spacing w:after="100"/>
        <w:ind w:right="-1"/>
        <w:jc w:val="both"/>
        <w:rPr>
          <w:b/>
        </w:rPr>
      </w:pPr>
      <w:r>
        <w:rPr>
          <w:b/>
        </w:rPr>
        <w:t>12. MONITORAMENTO E CONTROLE DE RESULTADOS</w:t>
      </w:r>
    </w:p>
    <w:p w14:paraId="65B1D2FF" w14:textId="77777777" w:rsidR="007567AF" w:rsidRDefault="00E16BB7">
      <w:pPr>
        <w:spacing w:after="100"/>
        <w:ind w:right="-1"/>
        <w:jc w:val="both"/>
      </w:pPr>
      <w:r>
        <w:t xml:space="preserve">12.1 Os procedimentos de monitoramento e avaliação dos projetos culturais contemplados, assim como prestação de informação à administração </w:t>
      </w:r>
      <w:proofErr w:type="spellStart"/>
      <w:r>
        <w:t>pública</w:t>
      </w:r>
      <w:proofErr w:type="spellEnd"/>
      <w:r>
        <w:t xml:space="preserve">, serão realizados por uma comissão da Fundação Cultural do Pará, de acordo com o Decreto 11.453/2023 (Decreto de Fomento), que dispõe sobre os mecanismos de fomento do sistema de financiamento à cultura, observadas </w:t>
      </w:r>
      <w:proofErr w:type="spellStart"/>
      <w:r>
        <w:t>às</w:t>
      </w:r>
      <w:proofErr w:type="spellEnd"/>
      <w:r>
        <w:t xml:space="preserve"> </w:t>
      </w:r>
      <w:proofErr w:type="spellStart"/>
      <w:r>
        <w:t>exigências</w:t>
      </w:r>
      <w:proofErr w:type="spellEnd"/>
      <w:r>
        <w:t xml:space="preserve"> legais de </w:t>
      </w:r>
      <w:proofErr w:type="spellStart"/>
      <w:r>
        <w:t>simplificação</w:t>
      </w:r>
      <w:proofErr w:type="spellEnd"/>
      <w:r>
        <w:t xml:space="preserve"> e de foco no cumprimento do objeto.</w:t>
      </w:r>
    </w:p>
    <w:p w14:paraId="71F87B71" w14:textId="77777777" w:rsidR="007567AF" w:rsidRDefault="00E16BB7">
      <w:pPr>
        <w:spacing w:after="100"/>
        <w:ind w:right="-1"/>
        <w:jc w:val="both"/>
      </w:pPr>
      <w:r>
        <w:t xml:space="preserve">12.2 A EMPRESA PREMIADA deve prestar contas por meio da apresentação do Relatório Final de Execução do Objeto, conforme documento constante no Anexo IV e orientação contida no Decreto nº11.453/2023, artigo 29, inciso 2 que versa </w:t>
      </w:r>
      <w:proofErr w:type="gramStart"/>
      <w:r>
        <w:t>sobre  a</w:t>
      </w:r>
      <w:proofErr w:type="gramEnd"/>
      <w:r>
        <w:t xml:space="preserve"> prestação de informações em relatório de execução do objeto.</w:t>
      </w:r>
    </w:p>
    <w:p w14:paraId="64A49316" w14:textId="77777777" w:rsidR="007567AF" w:rsidRDefault="00E16BB7">
      <w:pPr>
        <w:spacing w:after="100"/>
        <w:ind w:right="-1"/>
        <w:jc w:val="both"/>
      </w:pPr>
      <w:r>
        <w:t>Parágrafo único: Em caso da Fundação Cultural do Pará considerar que não foi possível aferir o cumprimento integral do objeto no Relatório Final de Execução, e que as justificativas apresentadas sobre o cumprimento parcial do objeto não foram suficientes, lhe é facultado o direito de requisitar o Relatório de Execução Financeira com as devidas comprovações (nota fiscal, recibos e documento congêneres), conforme contido no inciso 3 do artigo 29 e no inciso 3 do parágrafo II do artigo 30.</w:t>
      </w:r>
    </w:p>
    <w:p w14:paraId="18ABA8B5" w14:textId="77777777" w:rsidR="007567AF" w:rsidRDefault="00E16BB7">
      <w:pPr>
        <w:spacing w:after="100"/>
        <w:ind w:right="-1"/>
        <w:jc w:val="both"/>
      </w:pPr>
      <w:r>
        <w:t>12.3 O Relatório Final de Execução do Objeto deve ser apresentado até 31 de dezembro de 2024, com o fim da vigência do Termo de Execução Cultural.</w:t>
      </w:r>
    </w:p>
    <w:p w14:paraId="0C73E8F2" w14:textId="77777777" w:rsidR="007567AF" w:rsidRDefault="00E16BB7">
      <w:pPr>
        <w:spacing w:after="100"/>
        <w:ind w:right="-1"/>
        <w:jc w:val="both"/>
        <w:rPr>
          <w:b/>
        </w:rPr>
      </w:pPr>
      <w:r>
        <w:rPr>
          <w:b/>
        </w:rPr>
        <w:t>13. VIGÊNCIA</w:t>
      </w:r>
    </w:p>
    <w:p w14:paraId="55BC4070" w14:textId="77777777" w:rsidR="007567AF" w:rsidRDefault="00E16BB7">
      <w:pPr>
        <w:spacing w:after="100"/>
        <w:ind w:right="-1"/>
        <w:jc w:val="both"/>
        <w:rPr>
          <w:color w:val="FF0000"/>
        </w:rPr>
      </w:pPr>
      <w:r>
        <w:t xml:space="preserve">13.1 A vigência deste instrumento terá início na data de </w:t>
      </w:r>
      <w:r>
        <w:t>assinatura das partes, com duração de 12 (doze) meses, podendo ser prorrogado por</w:t>
      </w:r>
      <w:r>
        <w:rPr>
          <w:color w:val="FF0000"/>
        </w:rPr>
        <w:t xml:space="preserve"> [PRAZO MÁXIMO DE PRORROGAÇÃO].</w:t>
      </w:r>
    </w:p>
    <w:p w14:paraId="3200EF31" w14:textId="77777777" w:rsidR="007567AF" w:rsidRDefault="00E16BB7">
      <w:pPr>
        <w:spacing w:after="100"/>
        <w:ind w:right="-1"/>
        <w:jc w:val="both"/>
        <w:rPr>
          <w:b/>
        </w:rPr>
      </w:pPr>
      <w:r>
        <w:rPr>
          <w:b/>
        </w:rPr>
        <w:t>14. PUBLICAÇÃO</w:t>
      </w:r>
    </w:p>
    <w:p w14:paraId="68E4F0DB" w14:textId="77777777" w:rsidR="007567AF" w:rsidRDefault="00E16BB7">
      <w:pPr>
        <w:spacing w:after="100"/>
        <w:ind w:right="-1"/>
        <w:jc w:val="both"/>
      </w:pPr>
      <w:r>
        <w:t>14.1 O Extrato do Ter</w:t>
      </w:r>
      <w:r>
        <w:rPr>
          <w:color w:val="111111"/>
        </w:rPr>
        <w:t>mo de Execução Cultural será publicado no DIÁRIO OFICIAL DO MUNICÍPIO DE BELÉM - DOM</w:t>
      </w:r>
    </w:p>
    <w:p w14:paraId="31F8FB65" w14:textId="77777777" w:rsidR="007567AF" w:rsidRDefault="00E16BB7">
      <w:pPr>
        <w:spacing w:after="100"/>
        <w:ind w:right="-1"/>
        <w:jc w:val="both"/>
        <w:rPr>
          <w:b/>
        </w:rPr>
      </w:pPr>
      <w:r>
        <w:rPr>
          <w:b/>
        </w:rPr>
        <w:t>15. FORO</w:t>
      </w:r>
    </w:p>
    <w:p w14:paraId="37D11281" w14:textId="77777777" w:rsidR="007567AF" w:rsidRDefault="00E16BB7">
      <w:pPr>
        <w:tabs>
          <w:tab w:val="center" w:pos="1984"/>
        </w:tabs>
        <w:spacing w:after="100"/>
        <w:ind w:right="-1"/>
        <w:jc w:val="both"/>
      </w:pPr>
      <w:r>
        <w:t>15.1 Fica eleito o Foro de Belém para dirimir quaisquer dúvidas relativas ao presente Termo de Execução Cultural.</w:t>
      </w:r>
    </w:p>
    <w:p w14:paraId="6ABFBD45" w14:textId="77777777" w:rsidR="007567AF" w:rsidRDefault="00E16BB7">
      <w:pPr>
        <w:spacing w:after="100"/>
        <w:ind w:right="-1"/>
        <w:jc w:val="both"/>
        <w:rPr>
          <w:color w:val="FF0000"/>
        </w:rPr>
      </w:pPr>
      <w:r>
        <w:t xml:space="preserve"> Belém, </w:t>
      </w:r>
      <w:r>
        <w:rPr>
          <w:color w:val="FF0000"/>
        </w:rPr>
        <w:t>[INDICAR DIA, MÊS E ANO].</w:t>
      </w:r>
    </w:p>
    <w:p w14:paraId="58CCFB2C" w14:textId="77777777" w:rsidR="007567AF" w:rsidRDefault="00E16BB7">
      <w:pPr>
        <w:spacing w:line="360" w:lineRule="auto"/>
        <w:ind w:right="-1"/>
        <w:jc w:val="both"/>
      </w:pPr>
      <w:r>
        <w:t xml:space="preserve"> </w:t>
      </w:r>
    </w:p>
    <w:p w14:paraId="4ACCB188" w14:textId="77777777" w:rsidR="007567AF" w:rsidRDefault="007567AF">
      <w:pPr>
        <w:spacing w:line="360" w:lineRule="auto"/>
        <w:ind w:right="-1"/>
        <w:jc w:val="both"/>
      </w:pPr>
    </w:p>
    <w:p w14:paraId="29C3937C" w14:textId="77777777" w:rsidR="007567AF" w:rsidRDefault="007567AF">
      <w:pPr>
        <w:spacing w:line="360" w:lineRule="auto"/>
        <w:ind w:right="-1"/>
        <w:jc w:val="both"/>
      </w:pPr>
    </w:p>
    <w:p w14:paraId="4EFDD729" w14:textId="77777777" w:rsidR="007567AF" w:rsidRDefault="00E16BB7">
      <w:pPr>
        <w:spacing w:line="360" w:lineRule="auto"/>
        <w:ind w:right="-1"/>
        <w:jc w:val="center"/>
        <w:rPr>
          <w:b/>
          <w:bCs/>
        </w:rPr>
      </w:pPr>
      <w:r>
        <w:rPr>
          <w:b/>
          <w:bCs/>
        </w:rPr>
        <w:t>INÊS SILVEIRA</w:t>
      </w:r>
    </w:p>
    <w:p w14:paraId="7B3414EF" w14:textId="77777777" w:rsidR="007567AF" w:rsidRDefault="00E16BB7">
      <w:pPr>
        <w:spacing w:line="360" w:lineRule="auto"/>
        <w:ind w:right="-1"/>
        <w:jc w:val="center"/>
      </w:pPr>
      <w:r>
        <w:t xml:space="preserve">PRESIDENTA DA FUNDAÇÃO </w:t>
      </w:r>
      <w:proofErr w:type="gramStart"/>
      <w:r>
        <w:t>CULTURAL  DO</w:t>
      </w:r>
      <w:proofErr w:type="gramEnd"/>
      <w:r>
        <w:t xml:space="preserve"> MUNICÍPIO DE BELÉM</w:t>
      </w:r>
    </w:p>
    <w:p w14:paraId="18141B40" w14:textId="77777777" w:rsidR="007567AF" w:rsidRDefault="007567AF">
      <w:pPr>
        <w:spacing w:line="360" w:lineRule="auto"/>
        <w:ind w:right="-1"/>
        <w:jc w:val="center"/>
      </w:pPr>
    </w:p>
    <w:p w14:paraId="566614A1" w14:textId="77777777" w:rsidR="007567AF" w:rsidRDefault="007567AF">
      <w:pPr>
        <w:spacing w:line="360" w:lineRule="auto"/>
        <w:ind w:right="-1"/>
        <w:jc w:val="center"/>
      </w:pPr>
    </w:p>
    <w:p w14:paraId="25324F0A" w14:textId="77777777" w:rsidR="007567AF" w:rsidRDefault="007567AF">
      <w:pPr>
        <w:spacing w:line="360" w:lineRule="auto"/>
        <w:ind w:right="-1"/>
        <w:jc w:val="center"/>
      </w:pPr>
    </w:p>
    <w:p w14:paraId="160EF15A" w14:textId="77777777" w:rsidR="007567AF" w:rsidRDefault="007567AF">
      <w:pPr>
        <w:spacing w:line="360" w:lineRule="auto"/>
        <w:ind w:right="-1"/>
        <w:jc w:val="center"/>
      </w:pPr>
    </w:p>
    <w:p w14:paraId="564DBE72" w14:textId="77777777" w:rsidR="007567AF" w:rsidRDefault="00E16BB7">
      <w:pPr>
        <w:spacing w:line="360" w:lineRule="auto"/>
        <w:ind w:right="-1"/>
        <w:jc w:val="center"/>
      </w:pPr>
      <w:r>
        <w:t xml:space="preserve">EMPRESA PREMIADA        </w:t>
      </w:r>
    </w:p>
    <w:p w14:paraId="7F8FF074" w14:textId="77777777" w:rsidR="007567AF" w:rsidRDefault="007567AF"/>
    <w:sectPr w:rsidR="007567AF">
      <w:headerReference w:type="default" r:id="rId6"/>
      <w:pgSz w:w="11906" w:h="16838"/>
      <w:pgMar w:top="199" w:right="1701" w:bottom="1417" w:left="1701" w:header="142"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DA73D" w14:textId="77777777" w:rsidR="00E16BB7" w:rsidRDefault="00E16BB7">
      <w:r>
        <w:separator/>
      </w:r>
    </w:p>
  </w:endnote>
  <w:endnote w:type="continuationSeparator" w:id="0">
    <w:p w14:paraId="04B54B5E" w14:textId="77777777" w:rsidR="00E16BB7" w:rsidRDefault="00E16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845E1" w14:textId="77777777" w:rsidR="00E16BB7" w:rsidRDefault="00E16BB7">
      <w:r>
        <w:separator/>
      </w:r>
    </w:p>
  </w:footnote>
  <w:footnote w:type="continuationSeparator" w:id="0">
    <w:p w14:paraId="148B6EA6" w14:textId="77777777" w:rsidR="00E16BB7" w:rsidRDefault="00E16B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B990C" w14:textId="77777777" w:rsidR="007567AF" w:rsidRDefault="00E16BB7">
    <w:pPr>
      <w:pStyle w:val="Cabealho"/>
    </w:pPr>
    <w:r>
      <w:t xml:space="preserve">                               </w:t>
    </w:r>
    <w:r>
      <w:rPr>
        <w:noProof/>
      </w:rPr>
      <w:drawing>
        <wp:inline distT="0" distB="0" distL="0" distR="0" wp14:anchorId="54EE7401" wp14:editId="5AE52134">
          <wp:extent cx="5400040" cy="999490"/>
          <wp:effectExtent l="0" t="0" r="0" b="0"/>
          <wp:docPr id="177706113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999490"/>
                  </a:xfrm>
                  <a:prstGeom prst="rect">
                    <a:avLst/>
                  </a:prstGeom>
                  <a:noFill/>
                  <a:ln>
                    <a:noFill/>
                  </a:ln>
                </pic:spPr>
              </pic:pic>
            </a:graphicData>
          </a:graphic>
        </wp:inline>
      </w:drawing>
    </w:r>
  </w:p>
  <w:p w14:paraId="59CB5067" w14:textId="77777777" w:rsidR="007567AF" w:rsidRDefault="00E16BB7">
    <w:pPr>
      <w:spacing w:line="360" w:lineRule="auto"/>
      <w:ind w:right="-710"/>
      <w:jc w:val="center"/>
    </w:pPr>
    <w:r>
      <w:rPr>
        <w:color w:val="000000" w:themeColor="text1"/>
        <w:spacing w:val="-1"/>
      </w:rPr>
      <w:t>FOMENTO</w:t>
    </w:r>
    <w:r>
      <w:rPr>
        <w:color w:val="000000" w:themeColor="text1"/>
        <w:spacing w:val="-10"/>
      </w:rPr>
      <w:t xml:space="preserve"> </w:t>
    </w:r>
    <w:r>
      <w:rPr>
        <w:color w:val="000000" w:themeColor="text1"/>
        <w:spacing w:val="-1"/>
      </w:rPr>
      <w:t>AO</w:t>
    </w:r>
    <w:r>
      <w:rPr>
        <w:color w:val="000000" w:themeColor="text1"/>
        <w:spacing w:val="-10"/>
      </w:rPr>
      <w:t xml:space="preserve"> </w:t>
    </w:r>
    <w:r>
      <w:rPr>
        <w:color w:val="000000" w:themeColor="text1"/>
        <w:spacing w:val="-1"/>
      </w:rPr>
      <w:t>AUDIOVISUAL</w:t>
    </w:r>
    <w:r>
      <w:rPr>
        <w:color w:val="000000" w:themeColor="text1"/>
        <w:spacing w:val="-10"/>
      </w:rPr>
      <w:t xml:space="preserve"> </w:t>
    </w:r>
    <w:r>
      <w:rPr>
        <w:color w:val="000000" w:themeColor="text1"/>
        <w:spacing w:val="-1"/>
      </w:rPr>
      <w:t>–</w:t>
    </w:r>
    <w:r>
      <w:rPr>
        <w:color w:val="000000" w:themeColor="text1"/>
        <w:spacing w:val="-10"/>
      </w:rPr>
      <w:t xml:space="preserve"> </w:t>
    </w:r>
    <w:r>
      <w:rPr>
        <w:color w:val="000000" w:themeColor="text1"/>
        <w:spacing w:val="-1"/>
      </w:rPr>
      <w:t>LEI</w:t>
    </w:r>
    <w:r>
      <w:rPr>
        <w:color w:val="000000" w:themeColor="text1"/>
        <w:spacing w:val="-10"/>
      </w:rPr>
      <w:t xml:space="preserve"> </w:t>
    </w:r>
    <w:r>
      <w:rPr>
        <w:color w:val="000000" w:themeColor="text1"/>
        <w:spacing w:val="-1"/>
      </w:rPr>
      <w:t>PAULO</w:t>
    </w:r>
    <w:r>
      <w:rPr>
        <w:color w:val="000000" w:themeColor="text1"/>
        <w:spacing w:val="-10"/>
      </w:rPr>
      <w:t xml:space="preserve"> </w:t>
    </w:r>
    <w:r>
      <w:rPr>
        <w:color w:val="000000" w:themeColor="text1"/>
      </w:rPr>
      <w:t>GUSTAVO</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7AF"/>
    <w:rsid w:val="007567AF"/>
    <w:rsid w:val="00E16BB7"/>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3D214"/>
  <w15:docId w15:val="{1B1339FB-8A05-4EE9-B7DE-65CA73F05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Cs w:val="22"/>
        <w:lang w:val="pt-B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F11"/>
    <w:pPr>
      <w:suppressAutoHyphens/>
    </w:pPr>
    <w:rPr>
      <w:rFonts w:ascii="Times New Roman" w:eastAsia="Times New Roman" w:hAnsi="Times New Roman" w:cs="Times New Roman"/>
      <w:kern w:val="0"/>
      <w:sz w:val="24"/>
      <w:szCs w:val="24"/>
      <w:lang w:eastAsia="ar-SA"/>
      <w14:ligatures w14:val="none"/>
    </w:rPr>
  </w:style>
  <w:style w:type="paragraph" w:styleId="Ttulo1">
    <w:name w:val="heading 1"/>
    <w:basedOn w:val="Normal"/>
    <w:link w:val="Ttulo1Char"/>
    <w:uiPriority w:val="9"/>
    <w:qFormat/>
    <w:rsid w:val="00903297"/>
    <w:pPr>
      <w:widowControl w:val="0"/>
      <w:suppressAutoHyphens w:val="0"/>
      <w:ind w:left="401" w:hanging="302"/>
      <w:outlineLvl w:val="0"/>
    </w:pPr>
    <w:rPr>
      <w:rFonts w:ascii="Calibri" w:eastAsia="Calibri" w:hAnsi="Calibri" w:cs="Calibri"/>
      <w:b/>
      <w:bCs/>
      <w:sz w:val="20"/>
      <w:szCs w:val="20"/>
      <w:lang w:val="pt-PT"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qFormat/>
    <w:rsid w:val="00903297"/>
    <w:rPr>
      <w:rFonts w:ascii="Calibri" w:eastAsia="Calibri" w:hAnsi="Calibri" w:cs="Calibri"/>
      <w:b/>
      <w:bCs/>
      <w:kern w:val="0"/>
      <w:sz w:val="20"/>
      <w:szCs w:val="20"/>
      <w:lang w:val="pt-PT"/>
      <w14:ligatures w14:val="none"/>
    </w:rPr>
  </w:style>
  <w:style w:type="character" w:customStyle="1" w:styleId="CabealhoChar">
    <w:name w:val="Cabeçalho Char"/>
    <w:basedOn w:val="Fontepargpadro"/>
    <w:link w:val="Cabealho"/>
    <w:uiPriority w:val="99"/>
    <w:qFormat/>
    <w:rsid w:val="00903297"/>
    <w:rPr>
      <w:rFonts w:ascii="Times New Roman" w:eastAsia="Times New Roman" w:hAnsi="Times New Roman" w:cs="Times New Roman"/>
      <w:kern w:val="0"/>
      <w:sz w:val="24"/>
      <w:szCs w:val="24"/>
      <w:lang w:eastAsia="ar-SA"/>
      <w14:ligatures w14:val="none"/>
    </w:rPr>
  </w:style>
  <w:style w:type="character" w:customStyle="1" w:styleId="RodapChar">
    <w:name w:val="Rodapé Char"/>
    <w:basedOn w:val="Fontepargpadro"/>
    <w:link w:val="Rodap"/>
    <w:uiPriority w:val="99"/>
    <w:qFormat/>
    <w:rsid w:val="00903297"/>
    <w:rPr>
      <w:rFonts w:ascii="Times New Roman" w:eastAsia="Times New Roman" w:hAnsi="Times New Roman" w:cs="Times New Roman"/>
      <w:kern w:val="0"/>
      <w:sz w:val="24"/>
      <w:szCs w:val="24"/>
      <w:lang w:eastAsia="ar-SA"/>
      <w14:ligatures w14:val="none"/>
    </w:rPr>
  </w:style>
  <w:style w:type="character" w:customStyle="1" w:styleId="TtuloChar">
    <w:name w:val="Título Char"/>
    <w:basedOn w:val="Fontepargpadro"/>
    <w:link w:val="Ttulo"/>
    <w:qFormat/>
    <w:rsid w:val="00903297"/>
    <w:rPr>
      <w:rFonts w:ascii="Liberation Sans" w:eastAsia="Microsoft YaHei" w:hAnsi="Liberation Sans" w:cs="Arial"/>
      <w:kern w:val="0"/>
      <w:sz w:val="28"/>
      <w:szCs w:val="28"/>
      <w:lang w:eastAsia="ar-SA"/>
      <w14:ligatures w14:val="none"/>
    </w:rPr>
  </w:style>
  <w:style w:type="character" w:customStyle="1" w:styleId="CorpodetextoChar">
    <w:name w:val="Corpo de texto Char"/>
    <w:basedOn w:val="Fontepargpadro"/>
    <w:link w:val="Corpodetexto"/>
    <w:uiPriority w:val="1"/>
    <w:qFormat/>
    <w:rsid w:val="00903297"/>
    <w:rPr>
      <w:rFonts w:ascii="Times New Roman" w:eastAsia="Times New Roman" w:hAnsi="Times New Roman" w:cs="Times New Roman"/>
      <w:kern w:val="0"/>
      <w:sz w:val="24"/>
      <w:szCs w:val="24"/>
      <w:lang w:eastAsia="ar-SA"/>
      <w14:ligatures w14:val="none"/>
    </w:rPr>
  </w:style>
  <w:style w:type="character" w:customStyle="1" w:styleId="CabealhoChar1">
    <w:name w:val="Cabeçalho Char1"/>
    <w:basedOn w:val="Fontepargpadro"/>
    <w:uiPriority w:val="99"/>
    <w:semiHidden/>
    <w:qFormat/>
    <w:rsid w:val="00903297"/>
    <w:rPr>
      <w:rFonts w:ascii="Times New Roman" w:eastAsia="Times New Roman" w:hAnsi="Times New Roman" w:cs="Times New Roman"/>
      <w:kern w:val="0"/>
      <w:sz w:val="24"/>
      <w:szCs w:val="24"/>
      <w:lang w:eastAsia="ar-SA"/>
      <w14:ligatures w14:val="none"/>
    </w:rPr>
  </w:style>
  <w:style w:type="character" w:customStyle="1" w:styleId="RodapChar1">
    <w:name w:val="Rodapé Char1"/>
    <w:basedOn w:val="Fontepargpadro"/>
    <w:uiPriority w:val="99"/>
    <w:semiHidden/>
    <w:qFormat/>
    <w:rsid w:val="00903297"/>
    <w:rPr>
      <w:rFonts w:ascii="Times New Roman" w:eastAsia="Times New Roman" w:hAnsi="Times New Roman" w:cs="Times New Roman"/>
      <w:kern w:val="0"/>
      <w:sz w:val="24"/>
      <w:szCs w:val="24"/>
      <w:lang w:eastAsia="ar-SA"/>
      <w14:ligatures w14:val="none"/>
    </w:rPr>
  </w:style>
  <w:style w:type="character" w:customStyle="1" w:styleId="ListLabel39">
    <w:name w:val="ListLabel 39"/>
    <w:qFormat/>
    <w:rsid w:val="00903297"/>
    <w:rPr>
      <w:color w:val="0462C1"/>
      <w:u w:val="single" w:color="0462C1"/>
    </w:rPr>
  </w:style>
  <w:style w:type="character" w:customStyle="1" w:styleId="ListLabel40">
    <w:name w:val="ListLabel 40"/>
    <w:qFormat/>
    <w:rsid w:val="00903297"/>
    <w:rPr>
      <w:u w:val="single"/>
    </w:rPr>
  </w:style>
  <w:style w:type="character" w:customStyle="1" w:styleId="LinkdaInternet">
    <w:name w:val="Link da Internet"/>
    <w:basedOn w:val="Fontepargpadro"/>
    <w:uiPriority w:val="99"/>
    <w:unhideWhenUsed/>
    <w:rsid w:val="00903297"/>
    <w:rPr>
      <w:color w:val="0563C1" w:themeColor="hyperlink"/>
      <w:u w:val="single"/>
    </w:rPr>
  </w:style>
  <w:style w:type="character" w:styleId="MenoPendente">
    <w:name w:val="Unresolved Mention"/>
    <w:basedOn w:val="Fontepargpadro"/>
    <w:uiPriority w:val="99"/>
    <w:semiHidden/>
    <w:unhideWhenUsed/>
    <w:qFormat/>
    <w:rsid w:val="00903297"/>
    <w:rPr>
      <w:color w:val="605E5C"/>
      <w:shd w:val="clear" w:color="auto" w:fill="E1DFDD"/>
    </w:rPr>
  </w:style>
  <w:style w:type="character" w:customStyle="1" w:styleId="ListLabel149">
    <w:name w:val="ListLabel 149"/>
    <w:qFormat/>
    <w:rsid w:val="003442FA"/>
    <w:rPr>
      <w:rFonts w:ascii="Times New Roman" w:hAnsi="Times New Roman" w:cs="Times New Roman"/>
      <w:sz w:val="24"/>
      <w:szCs w:val="24"/>
    </w:rPr>
  </w:style>
  <w:style w:type="character" w:customStyle="1" w:styleId="ListLabel150">
    <w:name w:val="ListLabel 150"/>
    <w:qFormat/>
    <w:rPr>
      <w:b w:val="0"/>
      <w:bCs/>
    </w:rPr>
  </w:style>
  <w:style w:type="character" w:customStyle="1" w:styleId="ListLabel151">
    <w:name w:val="ListLabel 151"/>
    <w:qFormat/>
    <w:rPr>
      <w:b w:val="0"/>
      <w:bCs/>
    </w:rPr>
  </w:style>
  <w:style w:type="character" w:customStyle="1" w:styleId="ListLabel152">
    <w:name w:val="ListLabel 152"/>
    <w:qFormat/>
    <w:rPr>
      <w:rFonts w:eastAsia="Calibri" w:cs="Calibri"/>
      <w:b/>
      <w:bCs/>
      <w:w w:val="100"/>
      <w:sz w:val="24"/>
      <w:szCs w:val="24"/>
      <w:lang w:val="pt-PT" w:eastAsia="en-US" w:bidi="ar-SA"/>
    </w:rPr>
  </w:style>
  <w:style w:type="character" w:customStyle="1" w:styleId="ListLabel153">
    <w:name w:val="ListLabel 153"/>
    <w:qFormat/>
    <w:rPr>
      <w:rFonts w:eastAsia="Calibri" w:cs="Calibri"/>
      <w:w w:val="100"/>
      <w:sz w:val="24"/>
      <w:szCs w:val="24"/>
      <w:lang w:val="pt-PT" w:eastAsia="en-US" w:bidi="ar-SA"/>
    </w:rPr>
  </w:style>
  <w:style w:type="character" w:customStyle="1" w:styleId="ListLabel154">
    <w:name w:val="ListLabel 154"/>
    <w:qFormat/>
    <w:rPr>
      <w:rFonts w:eastAsia="Calibri" w:cs="Calibri"/>
      <w:spacing w:val="-1"/>
      <w:w w:val="100"/>
      <w:sz w:val="24"/>
      <w:szCs w:val="24"/>
      <w:lang w:val="pt-PT" w:eastAsia="en-US" w:bidi="ar-SA"/>
    </w:rPr>
  </w:style>
  <w:style w:type="character" w:customStyle="1" w:styleId="ListLabel155">
    <w:name w:val="ListLabel 155"/>
    <w:qFormat/>
    <w:rPr>
      <w:lang w:val="pt-PT" w:eastAsia="en-US" w:bidi="ar-SA"/>
    </w:rPr>
  </w:style>
  <w:style w:type="character" w:customStyle="1" w:styleId="ListLabel156">
    <w:name w:val="ListLabel 156"/>
    <w:qFormat/>
    <w:rPr>
      <w:lang w:val="pt-PT" w:eastAsia="en-US" w:bidi="ar-SA"/>
    </w:rPr>
  </w:style>
  <w:style w:type="character" w:customStyle="1" w:styleId="ListLabel157">
    <w:name w:val="ListLabel 157"/>
    <w:qFormat/>
    <w:rPr>
      <w:lang w:val="pt-PT" w:eastAsia="en-US" w:bidi="ar-SA"/>
    </w:rPr>
  </w:style>
  <w:style w:type="character" w:customStyle="1" w:styleId="ListLabel158">
    <w:name w:val="ListLabel 158"/>
    <w:qFormat/>
    <w:rPr>
      <w:lang w:val="pt-PT" w:eastAsia="en-US" w:bidi="ar-SA"/>
    </w:rPr>
  </w:style>
  <w:style w:type="character" w:customStyle="1" w:styleId="ListLabel159">
    <w:name w:val="ListLabel 159"/>
    <w:qFormat/>
    <w:rPr>
      <w:lang w:val="pt-PT" w:eastAsia="en-US" w:bidi="ar-SA"/>
    </w:rPr>
  </w:style>
  <w:style w:type="character" w:customStyle="1" w:styleId="ListLabel160">
    <w:name w:val="ListLabel 160"/>
    <w:qFormat/>
    <w:rPr>
      <w:lang w:val="pt-PT" w:eastAsia="en-US" w:bidi="ar-SA"/>
    </w:rPr>
  </w:style>
  <w:style w:type="character" w:customStyle="1" w:styleId="ListLabel161">
    <w:name w:val="ListLabel 161"/>
    <w:qFormat/>
    <w:rPr>
      <w:rFonts w:eastAsia="Calibri" w:cs="Calibri"/>
      <w:w w:val="100"/>
      <w:sz w:val="20"/>
      <w:szCs w:val="20"/>
      <w:lang w:val="pt-PT" w:eastAsia="en-US" w:bidi="ar-SA"/>
    </w:rPr>
  </w:style>
  <w:style w:type="character" w:customStyle="1" w:styleId="ListLabel162">
    <w:name w:val="ListLabel 162"/>
    <w:qFormat/>
    <w:rPr>
      <w:lang w:val="pt-PT" w:eastAsia="en-US" w:bidi="ar-SA"/>
    </w:rPr>
  </w:style>
  <w:style w:type="character" w:customStyle="1" w:styleId="ListLabel163">
    <w:name w:val="ListLabel 163"/>
    <w:qFormat/>
    <w:rPr>
      <w:lang w:val="pt-PT" w:eastAsia="en-US" w:bidi="ar-SA"/>
    </w:rPr>
  </w:style>
  <w:style w:type="character" w:customStyle="1" w:styleId="ListLabel164">
    <w:name w:val="ListLabel 164"/>
    <w:qFormat/>
    <w:rPr>
      <w:lang w:val="pt-PT" w:eastAsia="en-US" w:bidi="ar-SA"/>
    </w:rPr>
  </w:style>
  <w:style w:type="character" w:customStyle="1" w:styleId="ListLabel165">
    <w:name w:val="ListLabel 165"/>
    <w:qFormat/>
    <w:rPr>
      <w:lang w:val="pt-PT" w:eastAsia="en-US" w:bidi="ar-SA"/>
    </w:rPr>
  </w:style>
  <w:style w:type="character" w:customStyle="1" w:styleId="ListLabel166">
    <w:name w:val="ListLabel 166"/>
    <w:qFormat/>
    <w:rPr>
      <w:lang w:val="pt-PT" w:eastAsia="en-US" w:bidi="ar-SA"/>
    </w:rPr>
  </w:style>
  <w:style w:type="character" w:customStyle="1" w:styleId="ListLabel167">
    <w:name w:val="ListLabel 167"/>
    <w:qFormat/>
    <w:rPr>
      <w:lang w:val="pt-PT" w:eastAsia="en-US" w:bidi="ar-SA"/>
    </w:rPr>
  </w:style>
  <w:style w:type="character" w:customStyle="1" w:styleId="ListLabel168">
    <w:name w:val="ListLabel 168"/>
    <w:qFormat/>
    <w:rPr>
      <w:lang w:val="pt-PT" w:eastAsia="en-US" w:bidi="ar-SA"/>
    </w:rPr>
  </w:style>
  <w:style w:type="character" w:customStyle="1" w:styleId="ListLabel169">
    <w:name w:val="ListLabel 169"/>
    <w:qFormat/>
    <w:rPr>
      <w:lang w:val="pt-PT" w:eastAsia="en-US" w:bidi="ar-SA"/>
    </w:rPr>
  </w:style>
  <w:style w:type="character" w:customStyle="1" w:styleId="ListLabel170">
    <w:name w:val="ListLabel 170"/>
    <w:qFormat/>
    <w:rPr>
      <w:rFonts w:eastAsia="Calibri" w:cs="Calibri"/>
      <w:b/>
      <w:bCs/>
      <w:spacing w:val="-1"/>
      <w:w w:val="100"/>
      <w:sz w:val="20"/>
      <w:szCs w:val="20"/>
      <w:lang w:val="pt-PT" w:eastAsia="en-US" w:bidi="ar-SA"/>
    </w:rPr>
  </w:style>
  <w:style w:type="character" w:customStyle="1" w:styleId="ListLabel171">
    <w:name w:val="ListLabel 171"/>
    <w:qFormat/>
    <w:rPr>
      <w:rFonts w:eastAsia="Calibri" w:cs="Calibri"/>
      <w:spacing w:val="-1"/>
      <w:w w:val="100"/>
      <w:sz w:val="20"/>
      <w:szCs w:val="20"/>
      <w:lang w:val="pt-PT" w:eastAsia="en-US" w:bidi="ar-SA"/>
    </w:rPr>
  </w:style>
  <w:style w:type="character" w:customStyle="1" w:styleId="ListLabel172">
    <w:name w:val="ListLabel 172"/>
    <w:qFormat/>
    <w:rPr>
      <w:rFonts w:eastAsia="Calibri" w:cs="Calibri"/>
      <w:spacing w:val="-1"/>
      <w:w w:val="100"/>
      <w:sz w:val="20"/>
      <w:szCs w:val="20"/>
      <w:lang w:val="pt-PT" w:eastAsia="en-US" w:bidi="ar-SA"/>
    </w:rPr>
  </w:style>
  <w:style w:type="character" w:customStyle="1" w:styleId="ListLabel173">
    <w:name w:val="ListLabel 173"/>
    <w:qFormat/>
    <w:rPr>
      <w:rFonts w:eastAsia="Calibri" w:cs="Calibri"/>
      <w:spacing w:val="-1"/>
      <w:w w:val="100"/>
      <w:sz w:val="20"/>
      <w:szCs w:val="20"/>
      <w:lang w:val="pt-PT" w:eastAsia="en-US" w:bidi="ar-SA"/>
    </w:rPr>
  </w:style>
  <w:style w:type="character" w:customStyle="1" w:styleId="ListLabel174">
    <w:name w:val="ListLabel 174"/>
    <w:qFormat/>
    <w:rPr>
      <w:lang w:val="pt-PT" w:eastAsia="en-US" w:bidi="ar-SA"/>
    </w:rPr>
  </w:style>
  <w:style w:type="character" w:customStyle="1" w:styleId="ListLabel175">
    <w:name w:val="ListLabel 175"/>
    <w:qFormat/>
    <w:rPr>
      <w:lang w:val="pt-PT" w:eastAsia="en-US" w:bidi="ar-SA"/>
    </w:rPr>
  </w:style>
  <w:style w:type="character" w:customStyle="1" w:styleId="ListLabel176">
    <w:name w:val="ListLabel 176"/>
    <w:qFormat/>
    <w:rPr>
      <w:lang w:val="pt-PT" w:eastAsia="en-US" w:bidi="ar-SA"/>
    </w:rPr>
  </w:style>
  <w:style w:type="character" w:customStyle="1" w:styleId="ListLabel177">
    <w:name w:val="ListLabel 177"/>
    <w:qFormat/>
    <w:rPr>
      <w:lang w:val="pt-PT" w:eastAsia="en-US" w:bidi="ar-SA"/>
    </w:rPr>
  </w:style>
  <w:style w:type="character" w:customStyle="1" w:styleId="ListLabel178">
    <w:name w:val="ListLabel 178"/>
    <w:qFormat/>
    <w:rPr>
      <w:lang w:val="pt-PT" w:eastAsia="en-US" w:bidi="ar-SA"/>
    </w:rPr>
  </w:style>
  <w:style w:type="character" w:customStyle="1" w:styleId="ListLabel179">
    <w:name w:val="ListLabel 179"/>
    <w:qFormat/>
    <w:rPr>
      <w:rFonts w:eastAsia="Calibri" w:cs="Calibri"/>
      <w:spacing w:val="-1"/>
      <w:w w:val="100"/>
      <w:sz w:val="20"/>
      <w:szCs w:val="20"/>
      <w:lang w:val="pt-PT" w:eastAsia="en-US" w:bidi="ar-SA"/>
    </w:rPr>
  </w:style>
  <w:style w:type="character" w:customStyle="1" w:styleId="ListLabel180">
    <w:name w:val="ListLabel 180"/>
    <w:qFormat/>
    <w:rPr>
      <w:lang w:val="pt-PT" w:eastAsia="en-US" w:bidi="ar-SA"/>
    </w:rPr>
  </w:style>
  <w:style w:type="character" w:customStyle="1" w:styleId="ListLabel181">
    <w:name w:val="ListLabel 181"/>
    <w:qFormat/>
    <w:rPr>
      <w:lang w:val="pt-PT" w:eastAsia="en-US" w:bidi="ar-SA"/>
    </w:rPr>
  </w:style>
  <w:style w:type="character" w:customStyle="1" w:styleId="ListLabel182">
    <w:name w:val="ListLabel 182"/>
    <w:qFormat/>
    <w:rPr>
      <w:lang w:val="pt-PT" w:eastAsia="en-US" w:bidi="ar-SA"/>
    </w:rPr>
  </w:style>
  <w:style w:type="character" w:customStyle="1" w:styleId="ListLabel183">
    <w:name w:val="ListLabel 183"/>
    <w:qFormat/>
    <w:rPr>
      <w:lang w:val="pt-PT" w:eastAsia="en-US" w:bidi="ar-SA"/>
    </w:rPr>
  </w:style>
  <w:style w:type="character" w:customStyle="1" w:styleId="ListLabel184">
    <w:name w:val="ListLabel 184"/>
    <w:qFormat/>
    <w:rPr>
      <w:lang w:val="pt-PT" w:eastAsia="en-US" w:bidi="ar-SA"/>
    </w:rPr>
  </w:style>
  <w:style w:type="character" w:customStyle="1" w:styleId="ListLabel185">
    <w:name w:val="ListLabel 185"/>
    <w:qFormat/>
    <w:rPr>
      <w:lang w:val="pt-PT" w:eastAsia="en-US" w:bidi="ar-SA"/>
    </w:rPr>
  </w:style>
  <w:style w:type="character" w:customStyle="1" w:styleId="ListLabel186">
    <w:name w:val="ListLabel 186"/>
    <w:qFormat/>
    <w:rPr>
      <w:lang w:val="pt-PT" w:eastAsia="en-US" w:bidi="ar-SA"/>
    </w:rPr>
  </w:style>
  <w:style w:type="character" w:customStyle="1" w:styleId="ListLabel187">
    <w:name w:val="ListLabel 187"/>
    <w:qFormat/>
    <w:rPr>
      <w:lang w:val="pt-PT" w:eastAsia="en-US" w:bidi="ar-SA"/>
    </w:rPr>
  </w:style>
  <w:style w:type="character" w:customStyle="1" w:styleId="ListLabel188">
    <w:name w:val="ListLabel 188"/>
    <w:qFormat/>
    <w:rPr>
      <w:rFonts w:eastAsia="Calibri" w:cs="Calibri"/>
      <w:w w:val="100"/>
      <w:sz w:val="20"/>
      <w:szCs w:val="20"/>
      <w:lang w:val="pt-PT" w:eastAsia="en-US" w:bidi="ar-SA"/>
    </w:rPr>
  </w:style>
  <w:style w:type="character" w:customStyle="1" w:styleId="ListLabel189">
    <w:name w:val="ListLabel 189"/>
    <w:qFormat/>
    <w:rPr>
      <w:lang w:val="pt-PT" w:eastAsia="en-US" w:bidi="ar-SA"/>
    </w:rPr>
  </w:style>
  <w:style w:type="character" w:customStyle="1" w:styleId="ListLabel190">
    <w:name w:val="ListLabel 190"/>
    <w:qFormat/>
    <w:rPr>
      <w:lang w:val="pt-PT" w:eastAsia="en-US" w:bidi="ar-SA"/>
    </w:rPr>
  </w:style>
  <w:style w:type="character" w:customStyle="1" w:styleId="ListLabel191">
    <w:name w:val="ListLabel 191"/>
    <w:qFormat/>
    <w:rPr>
      <w:lang w:val="pt-PT" w:eastAsia="en-US" w:bidi="ar-SA"/>
    </w:rPr>
  </w:style>
  <w:style w:type="character" w:customStyle="1" w:styleId="ListLabel192">
    <w:name w:val="ListLabel 192"/>
    <w:qFormat/>
    <w:rPr>
      <w:lang w:val="pt-PT" w:eastAsia="en-US" w:bidi="ar-SA"/>
    </w:rPr>
  </w:style>
  <w:style w:type="character" w:customStyle="1" w:styleId="ListLabel193">
    <w:name w:val="ListLabel 193"/>
    <w:qFormat/>
    <w:rPr>
      <w:lang w:val="pt-PT" w:eastAsia="en-US" w:bidi="ar-SA"/>
    </w:rPr>
  </w:style>
  <w:style w:type="character" w:customStyle="1" w:styleId="ListLabel194">
    <w:name w:val="ListLabel 194"/>
    <w:qFormat/>
    <w:rPr>
      <w:lang w:val="pt-PT" w:eastAsia="en-US" w:bidi="ar-SA"/>
    </w:rPr>
  </w:style>
  <w:style w:type="character" w:customStyle="1" w:styleId="ListLabel195">
    <w:name w:val="ListLabel 195"/>
    <w:qFormat/>
    <w:rPr>
      <w:lang w:val="pt-PT" w:eastAsia="en-US" w:bidi="ar-SA"/>
    </w:rPr>
  </w:style>
  <w:style w:type="character" w:customStyle="1" w:styleId="ListLabel196">
    <w:name w:val="ListLabel 196"/>
    <w:qFormat/>
    <w:rPr>
      <w:lang w:val="pt-PT" w:eastAsia="en-US" w:bidi="ar-SA"/>
    </w:rPr>
  </w:style>
  <w:style w:type="character" w:customStyle="1" w:styleId="ListLabel197">
    <w:name w:val="ListLabel 197"/>
    <w:qFormat/>
    <w:rPr>
      <w:rFonts w:eastAsia="Calibri" w:cs="Calibri"/>
      <w:spacing w:val="-1"/>
      <w:w w:val="100"/>
      <w:sz w:val="20"/>
      <w:szCs w:val="20"/>
      <w:lang w:val="pt-PT" w:eastAsia="en-US" w:bidi="ar-SA"/>
    </w:rPr>
  </w:style>
  <w:style w:type="character" w:customStyle="1" w:styleId="ListLabel198">
    <w:name w:val="ListLabel 198"/>
    <w:qFormat/>
    <w:rPr>
      <w:lang w:val="pt-PT" w:eastAsia="en-US" w:bidi="ar-SA"/>
    </w:rPr>
  </w:style>
  <w:style w:type="character" w:customStyle="1" w:styleId="ListLabel199">
    <w:name w:val="ListLabel 199"/>
    <w:qFormat/>
    <w:rPr>
      <w:lang w:val="pt-PT" w:eastAsia="en-US" w:bidi="ar-SA"/>
    </w:rPr>
  </w:style>
  <w:style w:type="character" w:customStyle="1" w:styleId="ListLabel200">
    <w:name w:val="ListLabel 200"/>
    <w:qFormat/>
    <w:rPr>
      <w:lang w:val="pt-PT" w:eastAsia="en-US" w:bidi="ar-SA"/>
    </w:rPr>
  </w:style>
  <w:style w:type="character" w:customStyle="1" w:styleId="ListLabel201">
    <w:name w:val="ListLabel 201"/>
    <w:qFormat/>
    <w:rPr>
      <w:lang w:val="pt-PT" w:eastAsia="en-US" w:bidi="ar-SA"/>
    </w:rPr>
  </w:style>
  <w:style w:type="character" w:customStyle="1" w:styleId="ListLabel202">
    <w:name w:val="ListLabel 202"/>
    <w:qFormat/>
    <w:rPr>
      <w:lang w:val="pt-PT" w:eastAsia="en-US" w:bidi="ar-SA"/>
    </w:rPr>
  </w:style>
  <w:style w:type="character" w:customStyle="1" w:styleId="ListLabel203">
    <w:name w:val="ListLabel 203"/>
    <w:qFormat/>
    <w:rPr>
      <w:lang w:val="pt-PT" w:eastAsia="en-US" w:bidi="ar-SA"/>
    </w:rPr>
  </w:style>
  <w:style w:type="character" w:customStyle="1" w:styleId="ListLabel204">
    <w:name w:val="ListLabel 204"/>
    <w:qFormat/>
    <w:rPr>
      <w:lang w:val="pt-PT" w:eastAsia="en-US" w:bidi="ar-SA"/>
    </w:rPr>
  </w:style>
  <w:style w:type="character" w:customStyle="1" w:styleId="ListLabel205">
    <w:name w:val="ListLabel 205"/>
    <w:qFormat/>
    <w:rPr>
      <w:lang w:val="pt-PT" w:eastAsia="en-US" w:bidi="ar-SA"/>
    </w:rPr>
  </w:style>
  <w:style w:type="character" w:customStyle="1" w:styleId="ListLabel206">
    <w:name w:val="ListLabel 206"/>
    <w:qFormat/>
    <w:rPr>
      <w:sz w:val="24"/>
    </w:rPr>
  </w:style>
  <w:style w:type="character" w:customStyle="1" w:styleId="ListLabel207">
    <w:name w:val="ListLabel 207"/>
    <w:qFormat/>
    <w:rPr>
      <w:sz w:val="24"/>
    </w:rPr>
  </w:style>
  <w:style w:type="character" w:customStyle="1" w:styleId="ListLabel208">
    <w:name w:val="ListLabel 208"/>
    <w:qFormat/>
    <w:rPr>
      <w:sz w:val="24"/>
    </w:rPr>
  </w:style>
  <w:style w:type="character" w:customStyle="1" w:styleId="ListLabel209">
    <w:name w:val="ListLabel 209"/>
    <w:qFormat/>
    <w:rPr>
      <w:sz w:val="24"/>
    </w:rPr>
  </w:style>
  <w:style w:type="character" w:customStyle="1" w:styleId="ListLabel210">
    <w:name w:val="ListLabel 210"/>
    <w:qFormat/>
    <w:rPr>
      <w:sz w:val="24"/>
    </w:rPr>
  </w:style>
  <w:style w:type="character" w:customStyle="1" w:styleId="ListLabel211">
    <w:name w:val="ListLabel 211"/>
    <w:qFormat/>
    <w:rPr>
      <w:sz w:val="24"/>
    </w:rPr>
  </w:style>
  <w:style w:type="character" w:customStyle="1" w:styleId="ListLabel212">
    <w:name w:val="ListLabel 212"/>
    <w:qFormat/>
    <w:rPr>
      <w:sz w:val="24"/>
    </w:rPr>
  </w:style>
  <w:style w:type="character" w:customStyle="1" w:styleId="ListLabel213">
    <w:name w:val="ListLabel 213"/>
    <w:qFormat/>
    <w:rPr>
      <w:sz w:val="24"/>
    </w:rPr>
  </w:style>
  <w:style w:type="character" w:customStyle="1" w:styleId="ListLabel214">
    <w:name w:val="ListLabel 214"/>
    <w:qFormat/>
    <w:rPr>
      <w:sz w:val="24"/>
    </w:rPr>
  </w:style>
  <w:style w:type="character" w:customStyle="1" w:styleId="ListLabel215">
    <w:name w:val="ListLabel 215"/>
    <w:qFormat/>
    <w:rPr>
      <w:rFonts w:eastAsia="Calibri" w:cs="Calibri"/>
      <w:w w:val="100"/>
      <w:sz w:val="20"/>
      <w:szCs w:val="20"/>
      <w:lang w:val="pt-PT" w:eastAsia="en-US" w:bidi="ar-SA"/>
    </w:rPr>
  </w:style>
  <w:style w:type="character" w:customStyle="1" w:styleId="ListLabel216">
    <w:name w:val="ListLabel 216"/>
    <w:qFormat/>
    <w:rPr>
      <w:lang w:val="pt-PT" w:eastAsia="en-US" w:bidi="ar-SA"/>
    </w:rPr>
  </w:style>
  <w:style w:type="character" w:customStyle="1" w:styleId="ListLabel217">
    <w:name w:val="ListLabel 217"/>
    <w:qFormat/>
    <w:rPr>
      <w:lang w:val="pt-PT" w:eastAsia="en-US" w:bidi="ar-SA"/>
    </w:rPr>
  </w:style>
  <w:style w:type="character" w:customStyle="1" w:styleId="ListLabel218">
    <w:name w:val="ListLabel 218"/>
    <w:qFormat/>
    <w:rPr>
      <w:lang w:val="pt-PT" w:eastAsia="en-US" w:bidi="ar-SA"/>
    </w:rPr>
  </w:style>
  <w:style w:type="character" w:customStyle="1" w:styleId="ListLabel219">
    <w:name w:val="ListLabel 219"/>
    <w:qFormat/>
    <w:rPr>
      <w:lang w:val="pt-PT" w:eastAsia="en-US" w:bidi="ar-SA"/>
    </w:rPr>
  </w:style>
  <w:style w:type="character" w:customStyle="1" w:styleId="ListLabel220">
    <w:name w:val="ListLabel 220"/>
    <w:qFormat/>
    <w:rPr>
      <w:lang w:val="pt-PT" w:eastAsia="en-US" w:bidi="ar-SA"/>
    </w:rPr>
  </w:style>
  <w:style w:type="character" w:customStyle="1" w:styleId="ListLabel221">
    <w:name w:val="ListLabel 221"/>
    <w:qFormat/>
    <w:rPr>
      <w:lang w:val="pt-PT" w:eastAsia="en-US" w:bidi="ar-SA"/>
    </w:rPr>
  </w:style>
  <w:style w:type="character" w:customStyle="1" w:styleId="ListLabel222">
    <w:name w:val="ListLabel 222"/>
    <w:qFormat/>
    <w:rPr>
      <w:lang w:val="pt-PT" w:eastAsia="en-US" w:bidi="ar-SA"/>
    </w:rPr>
  </w:style>
  <w:style w:type="character" w:customStyle="1" w:styleId="ListLabel223">
    <w:name w:val="ListLabel 223"/>
    <w:qFormat/>
    <w:rPr>
      <w:lang w:val="pt-PT" w:eastAsia="en-US" w:bidi="ar-SA"/>
    </w:rPr>
  </w:style>
  <w:style w:type="character" w:customStyle="1" w:styleId="ListLabel224">
    <w:name w:val="ListLabel 224"/>
    <w:qFormat/>
    <w:rPr>
      <w:lang w:val="pt-PT" w:eastAsia="en-US" w:bidi="ar-SA"/>
    </w:rPr>
  </w:style>
  <w:style w:type="character" w:customStyle="1" w:styleId="ListLabel225">
    <w:name w:val="ListLabel 225"/>
    <w:qFormat/>
    <w:rPr>
      <w:rFonts w:eastAsia="Calibri" w:cs="Calibri"/>
      <w:spacing w:val="-1"/>
      <w:w w:val="100"/>
      <w:sz w:val="24"/>
      <w:szCs w:val="24"/>
      <w:lang w:val="pt-PT" w:eastAsia="en-US" w:bidi="ar-SA"/>
    </w:rPr>
  </w:style>
  <w:style w:type="character" w:customStyle="1" w:styleId="ListLabel226">
    <w:name w:val="ListLabel 226"/>
    <w:qFormat/>
    <w:rPr>
      <w:rFonts w:eastAsia="Calibri" w:cs="Calibri"/>
      <w:spacing w:val="-1"/>
      <w:w w:val="100"/>
      <w:sz w:val="24"/>
      <w:szCs w:val="24"/>
      <w:lang w:val="pt-PT" w:eastAsia="en-US" w:bidi="ar-SA"/>
    </w:rPr>
  </w:style>
  <w:style w:type="character" w:customStyle="1" w:styleId="ListLabel227">
    <w:name w:val="ListLabel 227"/>
    <w:qFormat/>
    <w:rPr>
      <w:lang w:val="pt-PT" w:eastAsia="en-US" w:bidi="ar-SA"/>
    </w:rPr>
  </w:style>
  <w:style w:type="character" w:customStyle="1" w:styleId="ListLabel228">
    <w:name w:val="ListLabel 228"/>
    <w:qFormat/>
    <w:rPr>
      <w:lang w:val="pt-PT" w:eastAsia="en-US" w:bidi="ar-SA"/>
    </w:rPr>
  </w:style>
  <w:style w:type="character" w:customStyle="1" w:styleId="ListLabel229">
    <w:name w:val="ListLabel 229"/>
    <w:qFormat/>
    <w:rPr>
      <w:lang w:val="pt-PT" w:eastAsia="en-US" w:bidi="ar-SA"/>
    </w:rPr>
  </w:style>
  <w:style w:type="character" w:customStyle="1" w:styleId="ListLabel230">
    <w:name w:val="ListLabel 230"/>
    <w:qFormat/>
    <w:rPr>
      <w:lang w:val="pt-PT" w:eastAsia="en-US" w:bidi="ar-SA"/>
    </w:rPr>
  </w:style>
  <w:style w:type="character" w:customStyle="1" w:styleId="ListLabel231">
    <w:name w:val="ListLabel 231"/>
    <w:qFormat/>
    <w:rPr>
      <w:lang w:val="pt-PT" w:eastAsia="en-US" w:bidi="ar-SA"/>
    </w:rPr>
  </w:style>
  <w:style w:type="character" w:customStyle="1" w:styleId="ListLabel232">
    <w:name w:val="ListLabel 232"/>
    <w:qFormat/>
    <w:rPr>
      <w:lang w:val="pt-PT" w:eastAsia="en-US" w:bidi="ar-SA"/>
    </w:rPr>
  </w:style>
  <w:style w:type="character" w:customStyle="1" w:styleId="ListLabel233">
    <w:name w:val="ListLabel 233"/>
    <w:qFormat/>
    <w:rPr>
      <w:rFonts w:eastAsia="Calibri" w:cs="Calibri"/>
      <w:w w:val="100"/>
      <w:sz w:val="20"/>
      <w:szCs w:val="20"/>
      <w:lang w:val="pt-PT" w:eastAsia="en-US" w:bidi="ar-SA"/>
    </w:rPr>
  </w:style>
  <w:style w:type="character" w:customStyle="1" w:styleId="ListLabel234">
    <w:name w:val="ListLabel 234"/>
    <w:qFormat/>
    <w:rPr>
      <w:lang w:val="pt-PT" w:eastAsia="en-US" w:bidi="ar-SA"/>
    </w:rPr>
  </w:style>
  <w:style w:type="character" w:customStyle="1" w:styleId="ListLabel235">
    <w:name w:val="ListLabel 235"/>
    <w:qFormat/>
    <w:rPr>
      <w:lang w:val="pt-PT" w:eastAsia="en-US" w:bidi="ar-SA"/>
    </w:rPr>
  </w:style>
  <w:style w:type="character" w:customStyle="1" w:styleId="ListLabel236">
    <w:name w:val="ListLabel 236"/>
    <w:qFormat/>
    <w:rPr>
      <w:lang w:val="pt-PT" w:eastAsia="en-US" w:bidi="ar-SA"/>
    </w:rPr>
  </w:style>
  <w:style w:type="character" w:customStyle="1" w:styleId="ListLabel237">
    <w:name w:val="ListLabel 237"/>
    <w:qFormat/>
    <w:rPr>
      <w:lang w:val="pt-PT" w:eastAsia="en-US" w:bidi="ar-SA"/>
    </w:rPr>
  </w:style>
  <w:style w:type="character" w:customStyle="1" w:styleId="ListLabel238">
    <w:name w:val="ListLabel 238"/>
    <w:qFormat/>
    <w:rPr>
      <w:lang w:val="pt-PT" w:eastAsia="en-US" w:bidi="ar-SA"/>
    </w:rPr>
  </w:style>
  <w:style w:type="character" w:customStyle="1" w:styleId="ListLabel239">
    <w:name w:val="ListLabel 239"/>
    <w:qFormat/>
    <w:rPr>
      <w:lang w:val="pt-PT" w:eastAsia="en-US" w:bidi="ar-SA"/>
    </w:rPr>
  </w:style>
  <w:style w:type="character" w:customStyle="1" w:styleId="ListLabel240">
    <w:name w:val="ListLabel 240"/>
    <w:qFormat/>
    <w:rPr>
      <w:lang w:val="pt-PT" w:eastAsia="en-US" w:bidi="ar-SA"/>
    </w:rPr>
  </w:style>
  <w:style w:type="character" w:customStyle="1" w:styleId="ListLabel241">
    <w:name w:val="ListLabel 241"/>
    <w:qFormat/>
    <w:rPr>
      <w:lang w:val="pt-PT" w:eastAsia="en-US" w:bidi="ar-SA"/>
    </w:rPr>
  </w:style>
  <w:style w:type="character" w:customStyle="1" w:styleId="ListLabel242">
    <w:name w:val="ListLabel 242"/>
    <w:qFormat/>
    <w:rPr>
      <w:rFonts w:eastAsia="Calibri" w:cs="Calibri"/>
      <w:spacing w:val="-1"/>
      <w:w w:val="100"/>
      <w:sz w:val="20"/>
      <w:szCs w:val="20"/>
      <w:lang w:val="pt-PT" w:eastAsia="en-US" w:bidi="ar-SA"/>
    </w:rPr>
  </w:style>
  <w:style w:type="character" w:customStyle="1" w:styleId="ListLabel243">
    <w:name w:val="ListLabel 243"/>
    <w:qFormat/>
    <w:rPr>
      <w:lang w:val="pt-PT" w:eastAsia="en-US" w:bidi="ar-SA"/>
    </w:rPr>
  </w:style>
  <w:style w:type="character" w:customStyle="1" w:styleId="ListLabel244">
    <w:name w:val="ListLabel 244"/>
    <w:qFormat/>
    <w:rPr>
      <w:lang w:val="pt-PT" w:eastAsia="en-US" w:bidi="ar-SA"/>
    </w:rPr>
  </w:style>
  <w:style w:type="character" w:customStyle="1" w:styleId="ListLabel245">
    <w:name w:val="ListLabel 245"/>
    <w:qFormat/>
    <w:rPr>
      <w:lang w:val="pt-PT" w:eastAsia="en-US" w:bidi="ar-SA"/>
    </w:rPr>
  </w:style>
  <w:style w:type="character" w:customStyle="1" w:styleId="ListLabel246">
    <w:name w:val="ListLabel 246"/>
    <w:qFormat/>
    <w:rPr>
      <w:lang w:val="pt-PT" w:eastAsia="en-US" w:bidi="ar-SA"/>
    </w:rPr>
  </w:style>
  <w:style w:type="character" w:customStyle="1" w:styleId="ListLabel247">
    <w:name w:val="ListLabel 247"/>
    <w:qFormat/>
    <w:rPr>
      <w:lang w:val="pt-PT" w:eastAsia="en-US" w:bidi="ar-SA"/>
    </w:rPr>
  </w:style>
  <w:style w:type="character" w:customStyle="1" w:styleId="ListLabel248">
    <w:name w:val="ListLabel 248"/>
    <w:qFormat/>
    <w:rPr>
      <w:lang w:val="pt-PT" w:eastAsia="en-US" w:bidi="ar-SA"/>
    </w:rPr>
  </w:style>
  <w:style w:type="character" w:customStyle="1" w:styleId="ListLabel249">
    <w:name w:val="ListLabel 249"/>
    <w:qFormat/>
    <w:rPr>
      <w:lang w:val="pt-PT" w:eastAsia="en-US" w:bidi="ar-SA"/>
    </w:rPr>
  </w:style>
  <w:style w:type="character" w:customStyle="1" w:styleId="ListLabel250">
    <w:name w:val="ListLabel 250"/>
    <w:qFormat/>
    <w:rPr>
      <w:lang w:val="pt-PT" w:eastAsia="en-US" w:bidi="ar-SA"/>
    </w:rPr>
  </w:style>
  <w:style w:type="character" w:customStyle="1" w:styleId="ListLabel251">
    <w:name w:val="ListLabel 251"/>
    <w:qFormat/>
    <w:rPr>
      <w:lang w:val="pt-PT" w:eastAsia="en-US" w:bidi="ar-SA"/>
    </w:rPr>
  </w:style>
  <w:style w:type="character" w:customStyle="1" w:styleId="ListLabel252">
    <w:name w:val="ListLabel 252"/>
    <w:qFormat/>
    <w:rPr>
      <w:rFonts w:eastAsia="Calibri" w:cs="Calibri"/>
      <w:spacing w:val="-1"/>
      <w:w w:val="100"/>
      <w:sz w:val="24"/>
      <w:szCs w:val="24"/>
      <w:lang w:val="pt-PT" w:eastAsia="en-US" w:bidi="ar-SA"/>
    </w:rPr>
  </w:style>
  <w:style w:type="character" w:customStyle="1" w:styleId="ListLabel253">
    <w:name w:val="ListLabel 253"/>
    <w:qFormat/>
    <w:rPr>
      <w:lang w:val="pt-PT" w:eastAsia="en-US" w:bidi="ar-SA"/>
    </w:rPr>
  </w:style>
  <w:style w:type="character" w:customStyle="1" w:styleId="ListLabel254">
    <w:name w:val="ListLabel 254"/>
    <w:qFormat/>
    <w:rPr>
      <w:lang w:val="pt-PT" w:eastAsia="en-US" w:bidi="ar-SA"/>
    </w:rPr>
  </w:style>
  <w:style w:type="character" w:customStyle="1" w:styleId="ListLabel255">
    <w:name w:val="ListLabel 255"/>
    <w:qFormat/>
    <w:rPr>
      <w:lang w:val="pt-PT" w:eastAsia="en-US" w:bidi="ar-SA"/>
    </w:rPr>
  </w:style>
  <w:style w:type="character" w:customStyle="1" w:styleId="ListLabel256">
    <w:name w:val="ListLabel 256"/>
    <w:qFormat/>
    <w:rPr>
      <w:lang w:val="pt-PT" w:eastAsia="en-US" w:bidi="ar-SA"/>
    </w:rPr>
  </w:style>
  <w:style w:type="character" w:customStyle="1" w:styleId="ListLabel257">
    <w:name w:val="ListLabel 257"/>
    <w:qFormat/>
    <w:rPr>
      <w:lang w:val="pt-PT" w:eastAsia="en-US" w:bidi="ar-SA"/>
    </w:rPr>
  </w:style>
  <w:style w:type="character" w:customStyle="1" w:styleId="ListLabel258">
    <w:name w:val="ListLabel 258"/>
    <w:qFormat/>
    <w:rPr>
      <w:lang w:val="pt-PT" w:eastAsia="en-US" w:bidi="ar-SA"/>
    </w:rPr>
  </w:style>
  <w:style w:type="character" w:customStyle="1" w:styleId="ListLabel259">
    <w:name w:val="ListLabel 259"/>
    <w:qFormat/>
    <w:rPr>
      <w:lang w:val="pt-PT" w:eastAsia="en-US" w:bidi="ar-SA"/>
    </w:rPr>
  </w:style>
  <w:style w:type="character" w:customStyle="1" w:styleId="ListLabel260">
    <w:name w:val="ListLabel 260"/>
    <w:qFormat/>
    <w:rPr>
      <w:sz w:val="24"/>
    </w:rPr>
  </w:style>
  <w:style w:type="character" w:customStyle="1" w:styleId="ListLabel261">
    <w:name w:val="ListLabel 261"/>
    <w:qFormat/>
    <w:rPr>
      <w:sz w:val="24"/>
    </w:rPr>
  </w:style>
  <w:style w:type="character" w:customStyle="1" w:styleId="ListLabel262">
    <w:name w:val="ListLabel 262"/>
    <w:qFormat/>
    <w:rPr>
      <w:sz w:val="24"/>
    </w:rPr>
  </w:style>
  <w:style w:type="character" w:customStyle="1" w:styleId="ListLabel263">
    <w:name w:val="ListLabel 263"/>
    <w:qFormat/>
    <w:rPr>
      <w:sz w:val="24"/>
    </w:rPr>
  </w:style>
  <w:style w:type="character" w:customStyle="1" w:styleId="ListLabel264">
    <w:name w:val="ListLabel 264"/>
    <w:qFormat/>
    <w:rPr>
      <w:sz w:val="24"/>
    </w:rPr>
  </w:style>
  <w:style w:type="character" w:customStyle="1" w:styleId="ListLabel265">
    <w:name w:val="ListLabel 265"/>
    <w:qFormat/>
    <w:rPr>
      <w:sz w:val="24"/>
    </w:rPr>
  </w:style>
  <w:style w:type="character" w:customStyle="1" w:styleId="ListLabel266">
    <w:name w:val="ListLabel 266"/>
    <w:qFormat/>
    <w:rPr>
      <w:sz w:val="24"/>
    </w:rPr>
  </w:style>
  <w:style w:type="character" w:customStyle="1" w:styleId="ListLabel267">
    <w:name w:val="ListLabel 267"/>
    <w:qFormat/>
    <w:rPr>
      <w:sz w:val="24"/>
    </w:rPr>
  </w:style>
  <w:style w:type="character" w:customStyle="1" w:styleId="ListLabel268">
    <w:name w:val="ListLabel 268"/>
    <w:qFormat/>
    <w:rPr>
      <w:sz w:val="24"/>
    </w:rPr>
  </w:style>
  <w:style w:type="character" w:customStyle="1" w:styleId="ListLabel269">
    <w:name w:val="ListLabel 269"/>
    <w:qFormat/>
    <w:rPr>
      <w:lang w:val="pt-PT" w:eastAsia="en-US" w:bidi="ar-SA"/>
    </w:rPr>
  </w:style>
  <w:style w:type="character" w:customStyle="1" w:styleId="ListLabel270">
    <w:name w:val="ListLabel 270"/>
    <w:qFormat/>
    <w:rPr>
      <w:rFonts w:eastAsia="Calibri" w:cs="Calibri"/>
      <w:spacing w:val="-1"/>
      <w:w w:val="100"/>
      <w:sz w:val="20"/>
      <w:szCs w:val="20"/>
      <w:lang w:val="pt-PT" w:eastAsia="en-US" w:bidi="ar-SA"/>
    </w:rPr>
  </w:style>
  <w:style w:type="character" w:customStyle="1" w:styleId="ListLabel271">
    <w:name w:val="ListLabel 271"/>
    <w:qFormat/>
    <w:rPr>
      <w:lang w:val="pt-PT" w:eastAsia="en-US" w:bidi="ar-SA"/>
    </w:rPr>
  </w:style>
  <w:style w:type="character" w:customStyle="1" w:styleId="ListLabel272">
    <w:name w:val="ListLabel 272"/>
    <w:qFormat/>
    <w:rPr>
      <w:lang w:val="pt-PT" w:eastAsia="en-US" w:bidi="ar-SA"/>
    </w:rPr>
  </w:style>
  <w:style w:type="character" w:customStyle="1" w:styleId="ListLabel273">
    <w:name w:val="ListLabel 273"/>
    <w:qFormat/>
    <w:rPr>
      <w:lang w:val="pt-PT" w:eastAsia="en-US" w:bidi="ar-SA"/>
    </w:rPr>
  </w:style>
  <w:style w:type="character" w:customStyle="1" w:styleId="ListLabel274">
    <w:name w:val="ListLabel 274"/>
    <w:qFormat/>
    <w:rPr>
      <w:lang w:val="pt-PT" w:eastAsia="en-US" w:bidi="ar-SA"/>
    </w:rPr>
  </w:style>
  <w:style w:type="character" w:customStyle="1" w:styleId="ListLabel275">
    <w:name w:val="ListLabel 275"/>
    <w:qFormat/>
    <w:rPr>
      <w:lang w:val="pt-PT" w:eastAsia="en-US" w:bidi="ar-SA"/>
    </w:rPr>
  </w:style>
  <w:style w:type="character" w:customStyle="1" w:styleId="ListLabel276">
    <w:name w:val="ListLabel 276"/>
    <w:qFormat/>
    <w:rPr>
      <w:lang w:val="pt-PT" w:eastAsia="en-US" w:bidi="ar-SA"/>
    </w:rPr>
  </w:style>
  <w:style w:type="character" w:customStyle="1" w:styleId="ListLabel277">
    <w:name w:val="ListLabel 277"/>
    <w:qFormat/>
    <w:rPr>
      <w:lang w:val="pt-PT" w:eastAsia="en-US" w:bidi="ar-SA"/>
    </w:rPr>
  </w:style>
  <w:style w:type="character" w:customStyle="1" w:styleId="ListLabel278">
    <w:name w:val="ListLabel 278"/>
    <w:qFormat/>
    <w:rPr>
      <w:lang w:val="pt-PT" w:eastAsia="en-US" w:bidi="ar-SA"/>
    </w:rPr>
  </w:style>
  <w:style w:type="character" w:customStyle="1" w:styleId="ListLabel279">
    <w:name w:val="ListLabel 279"/>
    <w:qFormat/>
    <w:rPr>
      <w:rFonts w:eastAsia="Calibri" w:cs="Calibri"/>
      <w:spacing w:val="-1"/>
      <w:w w:val="100"/>
      <w:sz w:val="20"/>
      <w:szCs w:val="20"/>
      <w:lang w:val="pt-PT" w:eastAsia="en-US" w:bidi="ar-SA"/>
    </w:rPr>
  </w:style>
  <w:style w:type="character" w:customStyle="1" w:styleId="ListLabel280">
    <w:name w:val="ListLabel 280"/>
    <w:qFormat/>
    <w:rPr>
      <w:lang w:val="pt-PT" w:eastAsia="en-US" w:bidi="ar-SA"/>
    </w:rPr>
  </w:style>
  <w:style w:type="character" w:customStyle="1" w:styleId="ListLabel281">
    <w:name w:val="ListLabel 281"/>
    <w:qFormat/>
    <w:rPr>
      <w:lang w:val="pt-PT" w:eastAsia="en-US" w:bidi="ar-SA"/>
    </w:rPr>
  </w:style>
  <w:style w:type="character" w:customStyle="1" w:styleId="ListLabel282">
    <w:name w:val="ListLabel 282"/>
    <w:qFormat/>
    <w:rPr>
      <w:lang w:val="pt-PT" w:eastAsia="en-US" w:bidi="ar-SA"/>
    </w:rPr>
  </w:style>
  <w:style w:type="character" w:customStyle="1" w:styleId="ListLabel283">
    <w:name w:val="ListLabel 283"/>
    <w:qFormat/>
    <w:rPr>
      <w:lang w:val="pt-PT" w:eastAsia="en-US" w:bidi="ar-SA"/>
    </w:rPr>
  </w:style>
  <w:style w:type="character" w:customStyle="1" w:styleId="ListLabel284">
    <w:name w:val="ListLabel 284"/>
    <w:qFormat/>
    <w:rPr>
      <w:lang w:val="pt-PT" w:eastAsia="en-US" w:bidi="ar-SA"/>
    </w:rPr>
  </w:style>
  <w:style w:type="character" w:customStyle="1" w:styleId="ListLabel285">
    <w:name w:val="ListLabel 285"/>
    <w:qFormat/>
    <w:rPr>
      <w:lang w:val="pt-PT" w:eastAsia="en-US" w:bidi="ar-SA"/>
    </w:rPr>
  </w:style>
  <w:style w:type="character" w:customStyle="1" w:styleId="ListLabel286">
    <w:name w:val="ListLabel 286"/>
    <w:qFormat/>
    <w:rPr>
      <w:lang w:val="pt-PT" w:eastAsia="en-US" w:bidi="ar-SA"/>
    </w:rPr>
  </w:style>
  <w:style w:type="character" w:customStyle="1" w:styleId="ListLabel287">
    <w:name w:val="ListLabel 287"/>
    <w:qFormat/>
    <w:rPr>
      <w:rFonts w:eastAsia="Tahoma" w:cs="Tahoma"/>
      <w:spacing w:val="-1"/>
      <w:w w:val="100"/>
      <w:sz w:val="21"/>
      <w:szCs w:val="22"/>
      <w:lang w:val="pt-PT" w:eastAsia="en-US" w:bidi="ar-SA"/>
    </w:rPr>
  </w:style>
  <w:style w:type="character" w:customStyle="1" w:styleId="ListLabel288">
    <w:name w:val="ListLabel 288"/>
    <w:qFormat/>
    <w:rPr>
      <w:rFonts w:cs="Symbol"/>
      <w:lang w:val="pt-PT" w:eastAsia="en-US" w:bidi="ar-SA"/>
    </w:rPr>
  </w:style>
  <w:style w:type="character" w:customStyle="1" w:styleId="ListLabel289">
    <w:name w:val="ListLabel 289"/>
    <w:qFormat/>
    <w:rPr>
      <w:rFonts w:cs="Symbol"/>
      <w:lang w:val="pt-PT" w:eastAsia="en-US" w:bidi="ar-SA"/>
    </w:rPr>
  </w:style>
  <w:style w:type="character" w:customStyle="1" w:styleId="ListLabel290">
    <w:name w:val="ListLabel 290"/>
    <w:qFormat/>
    <w:rPr>
      <w:rFonts w:cs="Symbol"/>
      <w:lang w:val="pt-PT" w:eastAsia="en-US" w:bidi="ar-SA"/>
    </w:rPr>
  </w:style>
  <w:style w:type="character" w:customStyle="1" w:styleId="ListLabel291">
    <w:name w:val="ListLabel 291"/>
    <w:qFormat/>
    <w:rPr>
      <w:rFonts w:cs="Symbol"/>
      <w:lang w:val="pt-PT" w:eastAsia="en-US" w:bidi="ar-SA"/>
    </w:rPr>
  </w:style>
  <w:style w:type="character" w:customStyle="1" w:styleId="ListLabel292">
    <w:name w:val="ListLabel 292"/>
    <w:qFormat/>
    <w:rPr>
      <w:rFonts w:cs="Symbol"/>
      <w:lang w:val="pt-PT" w:eastAsia="en-US" w:bidi="ar-SA"/>
    </w:rPr>
  </w:style>
  <w:style w:type="character" w:customStyle="1" w:styleId="ListLabel293">
    <w:name w:val="ListLabel 293"/>
    <w:qFormat/>
    <w:rPr>
      <w:rFonts w:cs="Symbol"/>
      <w:lang w:val="pt-PT" w:eastAsia="en-US" w:bidi="ar-SA"/>
    </w:rPr>
  </w:style>
  <w:style w:type="character" w:customStyle="1" w:styleId="ListLabel294">
    <w:name w:val="ListLabel 294"/>
    <w:qFormat/>
    <w:rPr>
      <w:rFonts w:cs="Symbol"/>
      <w:lang w:val="pt-PT" w:eastAsia="en-US" w:bidi="ar-SA"/>
    </w:rPr>
  </w:style>
  <w:style w:type="character" w:customStyle="1" w:styleId="ListLabel295">
    <w:name w:val="ListLabel 295"/>
    <w:qFormat/>
    <w:rPr>
      <w:rFonts w:cs="Symbol"/>
      <w:lang w:val="pt-PT" w:eastAsia="en-US" w:bidi="ar-SA"/>
    </w:rPr>
  </w:style>
  <w:style w:type="character" w:customStyle="1" w:styleId="ListLabel296">
    <w:name w:val="ListLabel 296"/>
    <w:qFormat/>
    <w:rPr>
      <w:rFonts w:eastAsia="Calibri" w:cs="Calibri"/>
      <w:w w:val="100"/>
      <w:sz w:val="20"/>
      <w:szCs w:val="20"/>
      <w:lang w:val="pt-PT" w:eastAsia="en-US" w:bidi="ar-SA"/>
    </w:rPr>
  </w:style>
  <w:style w:type="character" w:customStyle="1" w:styleId="ListLabel297">
    <w:name w:val="ListLabel 297"/>
    <w:qFormat/>
    <w:rPr>
      <w:lang w:val="pt-PT" w:eastAsia="en-US" w:bidi="ar-SA"/>
    </w:rPr>
  </w:style>
  <w:style w:type="character" w:customStyle="1" w:styleId="ListLabel298">
    <w:name w:val="ListLabel 298"/>
    <w:qFormat/>
    <w:rPr>
      <w:lang w:val="pt-PT" w:eastAsia="en-US" w:bidi="ar-SA"/>
    </w:rPr>
  </w:style>
  <w:style w:type="character" w:customStyle="1" w:styleId="ListLabel299">
    <w:name w:val="ListLabel 299"/>
    <w:qFormat/>
    <w:rPr>
      <w:lang w:val="pt-PT" w:eastAsia="en-US" w:bidi="ar-SA"/>
    </w:rPr>
  </w:style>
  <w:style w:type="character" w:customStyle="1" w:styleId="ListLabel300">
    <w:name w:val="ListLabel 300"/>
    <w:qFormat/>
    <w:rPr>
      <w:lang w:val="pt-PT" w:eastAsia="en-US" w:bidi="ar-SA"/>
    </w:rPr>
  </w:style>
  <w:style w:type="character" w:customStyle="1" w:styleId="ListLabel301">
    <w:name w:val="ListLabel 301"/>
    <w:qFormat/>
    <w:rPr>
      <w:lang w:val="pt-PT" w:eastAsia="en-US" w:bidi="ar-SA"/>
    </w:rPr>
  </w:style>
  <w:style w:type="character" w:customStyle="1" w:styleId="ListLabel302">
    <w:name w:val="ListLabel 302"/>
    <w:qFormat/>
    <w:rPr>
      <w:lang w:val="pt-PT" w:eastAsia="en-US" w:bidi="ar-SA"/>
    </w:rPr>
  </w:style>
  <w:style w:type="character" w:customStyle="1" w:styleId="ListLabel303">
    <w:name w:val="ListLabel 303"/>
    <w:qFormat/>
    <w:rPr>
      <w:lang w:val="pt-PT" w:eastAsia="en-US" w:bidi="ar-SA"/>
    </w:rPr>
  </w:style>
  <w:style w:type="character" w:customStyle="1" w:styleId="ListLabel304">
    <w:name w:val="ListLabel 304"/>
    <w:qFormat/>
    <w:rPr>
      <w:lang w:val="pt-PT" w:eastAsia="en-US" w:bidi="ar-SA"/>
    </w:rPr>
  </w:style>
  <w:style w:type="character" w:customStyle="1" w:styleId="ListLabel305">
    <w:name w:val="ListLabel 305"/>
    <w:qFormat/>
    <w:rPr>
      <w:rFonts w:eastAsia="Calibri" w:cs="Calibri"/>
      <w:spacing w:val="-1"/>
      <w:w w:val="100"/>
      <w:sz w:val="20"/>
      <w:szCs w:val="20"/>
      <w:lang w:val="pt-PT" w:eastAsia="en-US" w:bidi="ar-SA"/>
    </w:rPr>
  </w:style>
  <w:style w:type="character" w:customStyle="1" w:styleId="ListLabel306">
    <w:name w:val="ListLabel 306"/>
    <w:qFormat/>
    <w:rPr>
      <w:sz w:val="22"/>
    </w:rPr>
  </w:style>
  <w:style w:type="character" w:customStyle="1" w:styleId="ListLabel307">
    <w:name w:val="ListLabel 307"/>
    <w:qFormat/>
    <w:rPr>
      <w:sz w:val="22"/>
    </w:rPr>
  </w:style>
  <w:style w:type="character" w:customStyle="1" w:styleId="ListLabel308">
    <w:name w:val="ListLabel 308"/>
    <w:qFormat/>
    <w:rPr>
      <w:sz w:val="22"/>
    </w:rPr>
  </w:style>
  <w:style w:type="character" w:customStyle="1" w:styleId="ListLabel309">
    <w:name w:val="ListLabel 309"/>
    <w:qFormat/>
    <w:rPr>
      <w:sz w:val="22"/>
    </w:rPr>
  </w:style>
  <w:style w:type="character" w:customStyle="1" w:styleId="ListLabel310">
    <w:name w:val="ListLabel 310"/>
    <w:qFormat/>
    <w:rPr>
      <w:sz w:val="22"/>
    </w:rPr>
  </w:style>
  <w:style w:type="character" w:customStyle="1" w:styleId="ListLabel311">
    <w:name w:val="ListLabel 311"/>
    <w:qFormat/>
    <w:rPr>
      <w:sz w:val="22"/>
    </w:rPr>
  </w:style>
  <w:style w:type="character" w:customStyle="1" w:styleId="ListLabel312">
    <w:name w:val="ListLabel 312"/>
    <w:qFormat/>
    <w:rPr>
      <w:sz w:val="22"/>
    </w:rPr>
  </w:style>
  <w:style w:type="character" w:customStyle="1" w:styleId="ListLabel313">
    <w:name w:val="ListLabel 313"/>
    <w:qFormat/>
    <w:rPr>
      <w:sz w:val="22"/>
    </w:rPr>
  </w:style>
  <w:style w:type="character" w:customStyle="1" w:styleId="ListLabel314">
    <w:name w:val="ListLabel 314"/>
    <w:qFormat/>
    <w:rPr>
      <w:sz w:val="22"/>
    </w:rPr>
  </w:style>
  <w:style w:type="character" w:customStyle="1" w:styleId="ListLabel315">
    <w:name w:val="ListLabel 315"/>
    <w:qFormat/>
    <w:rPr>
      <w:rFonts w:eastAsia="Calibri" w:cs="Calibri"/>
      <w:spacing w:val="-1"/>
      <w:w w:val="100"/>
      <w:sz w:val="20"/>
      <w:szCs w:val="20"/>
      <w:lang w:val="pt-PT" w:eastAsia="en-US" w:bidi="ar-SA"/>
    </w:rPr>
  </w:style>
  <w:style w:type="character" w:customStyle="1" w:styleId="ListLabel316">
    <w:name w:val="ListLabel 316"/>
    <w:qFormat/>
    <w:rPr>
      <w:rFonts w:eastAsia="Calibri" w:cs="Calibri"/>
      <w:spacing w:val="-1"/>
      <w:w w:val="100"/>
      <w:sz w:val="20"/>
      <w:szCs w:val="20"/>
      <w:lang w:val="pt-PT" w:eastAsia="en-US" w:bidi="ar-SA"/>
    </w:rPr>
  </w:style>
  <w:style w:type="character" w:customStyle="1" w:styleId="ListLabel317">
    <w:name w:val="ListLabel 317"/>
    <w:qFormat/>
    <w:rPr>
      <w:rFonts w:eastAsia="Calibri" w:cs="Calibri"/>
      <w:w w:val="100"/>
      <w:sz w:val="20"/>
      <w:szCs w:val="20"/>
      <w:lang w:val="pt-PT" w:eastAsia="en-US" w:bidi="ar-SA"/>
    </w:rPr>
  </w:style>
  <w:style w:type="character" w:customStyle="1" w:styleId="ListLabel318">
    <w:name w:val="ListLabel 318"/>
    <w:qFormat/>
    <w:rPr>
      <w:lang w:val="pt-PT" w:eastAsia="en-US" w:bidi="ar-SA"/>
    </w:rPr>
  </w:style>
  <w:style w:type="character" w:customStyle="1" w:styleId="ListLabel319">
    <w:name w:val="ListLabel 319"/>
    <w:qFormat/>
    <w:rPr>
      <w:lang w:val="pt-PT" w:eastAsia="en-US" w:bidi="ar-SA"/>
    </w:rPr>
  </w:style>
  <w:style w:type="character" w:customStyle="1" w:styleId="ListLabel320">
    <w:name w:val="ListLabel 320"/>
    <w:qFormat/>
    <w:rPr>
      <w:lang w:val="pt-PT" w:eastAsia="en-US" w:bidi="ar-SA"/>
    </w:rPr>
  </w:style>
  <w:style w:type="character" w:customStyle="1" w:styleId="ListLabel321">
    <w:name w:val="ListLabel 321"/>
    <w:qFormat/>
    <w:rPr>
      <w:lang w:val="pt-PT" w:eastAsia="en-US" w:bidi="ar-SA"/>
    </w:rPr>
  </w:style>
  <w:style w:type="character" w:customStyle="1" w:styleId="ListLabel322">
    <w:name w:val="ListLabel 322"/>
    <w:qFormat/>
    <w:rPr>
      <w:lang w:val="pt-PT" w:eastAsia="en-US" w:bidi="ar-SA"/>
    </w:rPr>
  </w:style>
  <w:style w:type="character" w:customStyle="1" w:styleId="ListLabel323">
    <w:name w:val="ListLabel 323"/>
    <w:qFormat/>
    <w:rPr>
      <w:lang w:val="pt-PT" w:eastAsia="en-US" w:bidi="ar-SA"/>
    </w:rPr>
  </w:style>
  <w:style w:type="character" w:customStyle="1" w:styleId="ListLabel324">
    <w:name w:val="ListLabel 324"/>
    <w:qFormat/>
    <w:rPr>
      <w:lang w:val="pt-PT" w:eastAsia="en-US" w:bidi="ar-SA"/>
    </w:rPr>
  </w:style>
  <w:style w:type="character" w:customStyle="1" w:styleId="ListLabel325">
    <w:name w:val="ListLabel 325"/>
    <w:qFormat/>
    <w:rPr>
      <w:lang w:val="pt-PT" w:eastAsia="en-US" w:bidi="ar-SA"/>
    </w:rPr>
  </w:style>
  <w:style w:type="character" w:customStyle="1" w:styleId="ListLabel326">
    <w:name w:val="ListLabel 326"/>
    <w:qFormat/>
    <w:rPr>
      <w:rFonts w:eastAsia="Calibri" w:cs="Calibri"/>
      <w:spacing w:val="-1"/>
      <w:w w:val="100"/>
      <w:sz w:val="20"/>
      <w:szCs w:val="20"/>
      <w:lang w:val="pt-PT" w:eastAsia="en-US" w:bidi="ar-SA"/>
    </w:rPr>
  </w:style>
  <w:style w:type="character" w:customStyle="1" w:styleId="ListLabel327">
    <w:name w:val="ListLabel 327"/>
    <w:qFormat/>
    <w:rPr>
      <w:rFonts w:eastAsia="Calibri" w:cs="Calibri"/>
      <w:b/>
      <w:bCs/>
      <w:w w:val="100"/>
      <w:sz w:val="24"/>
      <w:szCs w:val="24"/>
      <w:lang w:val="pt-PT" w:eastAsia="en-US" w:bidi="ar-SA"/>
    </w:rPr>
  </w:style>
  <w:style w:type="character" w:customStyle="1" w:styleId="ListLabel328">
    <w:name w:val="ListLabel 328"/>
    <w:qFormat/>
    <w:rPr>
      <w:rFonts w:eastAsia="Calibri" w:cs="Calibri"/>
      <w:spacing w:val="-1"/>
      <w:w w:val="100"/>
      <w:sz w:val="24"/>
      <w:szCs w:val="24"/>
      <w:lang w:val="pt-PT" w:eastAsia="en-US" w:bidi="ar-SA"/>
    </w:rPr>
  </w:style>
  <w:style w:type="character" w:customStyle="1" w:styleId="ListLabel329">
    <w:name w:val="ListLabel 329"/>
    <w:qFormat/>
    <w:rPr>
      <w:rFonts w:eastAsia="Calibri" w:cs="Calibri"/>
      <w:spacing w:val="-1"/>
      <w:w w:val="100"/>
      <w:sz w:val="24"/>
      <w:szCs w:val="24"/>
      <w:lang w:val="pt-PT" w:eastAsia="en-US" w:bidi="ar-SA"/>
    </w:rPr>
  </w:style>
  <w:style w:type="character" w:customStyle="1" w:styleId="ListLabel330">
    <w:name w:val="ListLabel 330"/>
    <w:qFormat/>
    <w:rPr>
      <w:lang w:val="pt-PT" w:eastAsia="en-US" w:bidi="ar-SA"/>
    </w:rPr>
  </w:style>
  <w:style w:type="character" w:customStyle="1" w:styleId="ListLabel331">
    <w:name w:val="ListLabel 331"/>
    <w:qFormat/>
    <w:rPr>
      <w:lang w:val="pt-PT" w:eastAsia="en-US" w:bidi="ar-SA"/>
    </w:rPr>
  </w:style>
  <w:style w:type="character" w:customStyle="1" w:styleId="ListLabel332">
    <w:name w:val="ListLabel 332"/>
    <w:qFormat/>
    <w:rPr>
      <w:lang w:val="pt-PT" w:eastAsia="en-US" w:bidi="ar-SA"/>
    </w:rPr>
  </w:style>
  <w:style w:type="character" w:customStyle="1" w:styleId="ListLabel333">
    <w:name w:val="ListLabel 333"/>
    <w:qFormat/>
    <w:rPr>
      <w:lang w:val="pt-PT" w:eastAsia="en-US" w:bidi="ar-SA"/>
    </w:rPr>
  </w:style>
  <w:style w:type="character" w:customStyle="1" w:styleId="ListLabel334">
    <w:name w:val="ListLabel 334"/>
    <w:qFormat/>
    <w:rPr>
      <w:lang w:val="pt-PT" w:eastAsia="en-US" w:bidi="ar-SA"/>
    </w:rPr>
  </w:style>
  <w:style w:type="character" w:customStyle="1" w:styleId="ListLabel335">
    <w:name w:val="ListLabel 335"/>
    <w:qFormat/>
    <w:rPr>
      <w:lang w:val="pt-PT" w:eastAsia="en-US" w:bidi="ar-SA"/>
    </w:rPr>
  </w:style>
  <w:style w:type="character" w:customStyle="1" w:styleId="ListLabel336">
    <w:name w:val="ListLabel 336"/>
    <w:qFormat/>
    <w:rPr>
      <w:lang w:val="pt-PT" w:eastAsia="en-US" w:bidi="ar-SA"/>
    </w:rPr>
  </w:style>
  <w:style w:type="character" w:customStyle="1" w:styleId="ListLabel337">
    <w:name w:val="ListLabel 337"/>
    <w:qFormat/>
    <w:rPr>
      <w:rFonts w:eastAsia="Calibri" w:cs="Calibri"/>
      <w:spacing w:val="-1"/>
      <w:w w:val="100"/>
      <w:sz w:val="24"/>
      <w:szCs w:val="24"/>
      <w:lang w:val="pt-PT" w:eastAsia="en-US" w:bidi="ar-SA"/>
    </w:rPr>
  </w:style>
  <w:style w:type="character" w:customStyle="1" w:styleId="ListLabel338">
    <w:name w:val="ListLabel 338"/>
    <w:qFormat/>
    <w:rPr>
      <w:lang w:val="pt-PT" w:eastAsia="en-US" w:bidi="ar-SA"/>
    </w:rPr>
  </w:style>
  <w:style w:type="character" w:customStyle="1" w:styleId="ListLabel339">
    <w:name w:val="ListLabel 339"/>
    <w:qFormat/>
    <w:rPr>
      <w:lang w:val="pt-PT" w:eastAsia="en-US" w:bidi="ar-SA"/>
    </w:rPr>
  </w:style>
  <w:style w:type="character" w:customStyle="1" w:styleId="ListLabel340">
    <w:name w:val="ListLabel 340"/>
    <w:qFormat/>
    <w:rPr>
      <w:lang w:val="pt-PT" w:eastAsia="en-US" w:bidi="ar-SA"/>
    </w:rPr>
  </w:style>
  <w:style w:type="character" w:customStyle="1" w:styleId="ListLabel341">
    <w:name w:val="ListLabel 341"/>
    <w:qFormat/>
    <w:rPr>
      <w:lang w:val="pt-PT" w:eastAsia="en-US" w:bidi="ar-SA"/>
    </w:rPr>
  </w:style>
  <w:style w:type="character" w:customStyle="1" w:styleId="ListLabel342">
    <w:name w:val="ListLabel 342"/>
    <w:qFormat/>
    <w:rPr>
      <w:lang w:val="pt-PT" w:eastAsia="en-US" w:bidi="ar-SA"/>
    </w:rPr>
  </w:style>
  <w:style w:type="character" w:customStyle="1" w:styleId="ListLabel343">
    <w:name w:val="ListLabel 343"/>
    <w:qFormat/>
    <w:rPr>
      <w:lang w:val="pt-PT" w:eastAsia="en-US" w:bidi="ar-SA"/>
    </w:rPr>
  </w:style>
  <w:style w:type="character" w:customStyle="1" w:styleId="ListLabel344">
    <w:name w:val="ListLabel 344"/>
    <w:qFormat/>
    <w:rPr>
      <w:lang w:val="pt-PT" w:eastAsia="en-US" w:bidi="ar-SA"/>
    </w:rPr>
  </w:style>
  <w:style w:type="character" w:customStyle="1" w:styleId="ListLabel345">
    <w:name w:val="ListLabel 345"/>
    <w:qFormat/>
    <w:rPr>
      <w:lang w:val="pt-PT" w:eastAsia="en-US" w:bidi="ar-SA"/>
    </w:rPr>
  </w:style>
  <w:style w:type="character" w:customStyle="1" w:styleId="ListLabel346">
    <w:name w:val="ListLabel 346"/>
    <w:qFormat/>
    <w:rPr>
      <w:rFonts w:eastAsia="Calibri" w:cs="Calibri"/>
      <w:spacing w:val="-1"/>
      <w:w w:val="100"/>
      <w:sz w:val="24"/>
      <w:szCs w:val="24"/>
      <w:lang w:val="pt-PT" w:eastAsia="en-US" w:bidi="ar-SA"/>
    </w:rPr>
  </w:style>
  <w:style w:type="character" w:customStyle="1" w:styleId="ListLabel347">
    <w:name w:val="ListLabel 347"/>
    <w:qFormat/>
    <w:rPr>
      <w:lang w:val="pt-PT" w:eastAsia="en-US" w:bidi="ar-SA"/>
    </w:rPr>
  </w:style>
  <w:style w:type="character" w:customStyle="1" w:styleId="ListLabel348">
    <w:name w:val="ListLabel 348"/>
    <w:qFormat/>
    <w:rPr>
      <w:lang w:val="pt-PT" w:eastAsia="en-US" w:bidi="ar-SA"/>
    </w:rPr>
  </w:style>
  <w:style w:type="character" w:customStyle="1" w:styleId="ListLabel349">
    <w:name w:val="ListLabel 349"/>
    <w:qFormat/>
    <w:rPr>
      <w:lang w:val="pt-PT" w:eastAsia="en-US" w:bidi="ar-SA"/>
    </w:rPr>
  </w:style>
  <w:style w:type="character" w:customStyle="1" w:styleId="ListLabel350">
    <w:name w:val="ListLabel 350"/>
    <w:qFormat/>
    <w:rPr>
      <w:lang w:val="pt-PT" w:eastAsia="en-US" w:bidi="ar-SA"/>
    </w:rPr>
  </w:style>
  <w:style w:type="character" w:customStyle="1" w:styleId="ListLabel351">
    <w:name w:val="ListLabel 351"/>
    <w:qFormat/>
    <w:rPr>
      <w:lang w:val="pt-PT" w:eastAsia="en-US" w:bidi="ar-SA"/>
    </w:rPr>
  </w:style>
  <w:style w:type="character" w:customStyle="1" w:styleId="ListLabel352">
    <w:name w:val="ListLabel 352"/>
    <w:qFormat/>
    <w:rPr>
      <w:lang w:val="pt-PT" w:eastAsia="en-US" w:bidi="ar-SA"/>
    </w:rPr>
  </w:style>
  <w:style w:type="character" w:customStyle="1" w:styleId="ListLabel353">
    <w:name w:val="ListLabel 353"/>
    <w:qFormat/>
    <w:rPr>
      <w:lang w:val="pt-PT" w:eastAsia="en-US" w:bidi="ar-SA"/>
    </w:rPr>
  </w:style>
  <w:style w:type="character" w:customStyle="1" w:styleId="ListLabel354">
    <w:name w:val="ListLabel 354"/>
    <w:qFormat/>
    <w:rPr>
      <w:rFonts w:cs="Courier New"/>
    </w:rPr>
  </w:style>
  <w:style w:type="character" w:customStyle="1" w:styleId="ListLabel355">
    <w:name w:val="ListLabel 355"/>
    <w:qFormat/>
    <w:rPr>
      <w:rFonts w:cs="Courier New"/>
    </w:rPr>
  </w:style>
  <w:style w:type="character" w:customStyle="1" w:styleId="ListLabel356">
    <w:name w:val="ListLabel 356"/>
    <w:qFormat/>
    <w:rPr>
      <w:rFonts w:cs="Courier New"/>
    </w:rPr>
  </w:style>
  <w:style w:type="character" w:customStyle="1" w:styleId="ListLabel357">
    <w:name w:val="ListLabel 357"/>
    <w:qFormat/>
    <w:rPr>
      <w:rFonts w:eastAsia="Calibri" w:cs="Calibri"/>
      <w:spacing w:val="-1"/>
      <w:w w:val="100"/>
      <w:sz w:val="20"/>
      <w:szCs w:val="20"/>
      <w:lang w:val="pt-PT" w:eastAsia="en-US" w:bidi="ar-SA"/>
    </w:rPr>
  </w:style>
  <w:style w:type="character" w:customStyle="1" w:styleId="ListLabel358">
    <w:name w:val="ListLabel 358"/>
    <w:qFormat/>
    <w:rPr>
      <w:rFonts w:eastAsia="Calibri" w:cs="Calibri"/>
      <w:w w:val="100"/>
      <w:sz w:val="24"/>
      <w:szCs w:val="20"/>
      <w:lang w:val="pt-PT" w:eastAsia="en-US" w:bidi="ar-SA"/>
    </w:rPr>
  </w:style>
  <w:style w:type="character" w:customStyle="1" w:styleId="ListLabel359">
    <w:name w:val="ListLabel 359"/>
    <w:qFormat/>
    <w:rPr>
      <w:rFonts w:cs="Symbol"/>
      <w:lang w:val="pt-PT" w:eastAsia="en-US" w:bidi="ar-SA"/>
    </w:rPr>
  </w:style>
  <w:style w:type="character" w:customStyle="1" w:styleId="ListLabel360">
    <w:name w:val="ListLabel 360"/>
    <w:qFormat/>
    <w:rPr>
      <w:rFonts w:cs="Symbol"/>
      <w:lang w:val="pt-PT" w:eastAsia="en-US" w:bidi="ar-SA"/>
    </w:rPr>
  </w:style>
  <w:style w:type="character" w:customStyle="1" w:styleId="ListLabel361">
    <w:name w:val="ListLabel 361"/>
    <w:qFormat/>
    <w:rPr>
      <w:rFonts w:cs="Symbol"/>
      <w:lang w:val="pt-PT" w:eastAsia="en-US" w:bidi="ar-SA"/>
    </w:rPr>
  </w:style>
  <w:style w:type="character" w:customStyle="1" w:styleId="ListLabel362">
    <w:name w:val="ListLabel 362"/>
    <w:qFormat/>
    <w:rPr>
      <w:rFonts w:cs="Symbol"/>
      <w:lang w:val="pt-PT" w:eastAsia="en-US" w:bidi="ar-SA"/>
    </w:rPr>
  </w:style>
  <w:style w:type="character" w:customStyle="1" w:styleId="ListLabel363">
    <w:name w:val="ListLabel 363"/>
    <w:qFormat/>
    <w:rPr>
      <w:rFonts w:cs="Symbol"/>
      <w:lang w:val="pt-PT" w:eastAsia="en-US" w:bidi="ar-SA"/>
    </w:rPr>
  </w:style>
  <w:style w:type="character" w:customStyle="1" w:styleId="ListLabel364">
    <w:name w:val="ListLabel 364"/>
    <w:qFormat/>
    <w:rPr>
      <w:rFonts w:cs="Symbol"/>
      <w:lang w:val="pt-PT" w:eastAsia="en-US" w:bidi="ar-SA"/>
    </w:rPr>
  </w:style>
  <w:style w:type="character" w:customStyle="1" w:styleId="ListLabel365">
    <w:name w:val="ListLabel 365"/>
    <w:qFormat/>
    <w:rPr>
      <w:rFonts w:cs="Symbol"/>
      <w:lang w:val="pt-PT" w:eastAsia="en-US" w:bidi="ar-SA"/>
    </w:rPr>
  </w:style>
  <w:style w:type="character" w:customStyle="1" w:styleId="ListLabel366">
    <w:name w:val="ListLabel 366"/>
    <w:qFormat/>
    <w:rPr>
      <w:rFonts w:cs="Symbol"/>
      <w:lang w:val="pt-PT" w:eastAsia="en-US" w:bidi="ar-SA"/>
    </w:rPr>
  </w:style>
  <w:style w:type="paragraph" w:styleId="Ttulo">
    <w:name w:val="Title"/>
    <w:basedOn w:val="Normal"/>
    <w:next w:val="Corpodetexto"/>
    <w:link w:val="TtuloChar"/>
    <w:uiPriority w:val="10"/>
    <w:qFormat/>
    <w:rsid w:val="00903297"/>
    <w:pPr>
      <w:keepNext/>
      <w:spacing w:before="240" w:after="120"/>
    </w:pPr>
    <w:rPr>
      <w:rFonts w:ascii="Liberation Sans" w:eastAsia="Microsoft YaHei" w:hAnsi="Liberation Sans" w:cs="Arial"/>
      <w:sz w:val="28"/>
      <w:szCs w:val="28"/>
    </w:rPr>
  </w:style>
  <w:style w:type="paragraph" w:styleId="Corpodetexto">
    <w:name w:val="Body Text"/>
    <w:basedOn w:val="Normal"/>
    <w:link w:val="CorpodetextoChar"/>
    <w:uiPriority w:val="1"/>
    <w:qFormat/>
    <w:rsid w:val="00903297"/>
    <w:pPr>
      <w:spacing w:after="140" w:line="276" w:lineRule="auto"/>
    </w:pPr>
  </w:style>
  <w:style w:type="paragraph" w:styleId="Lista">
    <w:name w:val="List"/>
    <w:basedOn w:val="Corpodetexto"/>
    <w:rsid w:val="00903297"/>
    <w:rPr>
      <w:rFonts w:cs="Arial"/>
    </w:rPr>
  </w:style>
  <w:style w:type="paragraph" w:styleId="Legenda">
    <w:name w:val="caption"/>
    <w:basedOn w:val="Normal"/>
    <w:qFormat/>
    <w:rsid w:val="00903297"/>
    <w:pPr>
      <w:suppressLineNumbers/>
      <w:spacing w:before="120" w:after="120"/>
    </w:pPr>
    <w:rPr>
      <w:rFonts w:cs="Arial"/>
      <w:i/>
      <w:iCs/>
    </w:rPr>
  </w:style>
  <w:style w:type="paragraph" w:customStyle="1" w:styleId="ndice">
    <w:name w:val="Índice"/>
    <w:basedOn w:val="Normal"/>
    <w:qFormat/>
    <w:rsid w:val="00903297"/>
    <w:pPr>
      <w:suppressLineNumbers/>
    </w:pPr>
    <w:rPr>
      <w:rFonts w:cs="Arial"/>
    </w:rPr>
  </w:style>
  <w:style w:type="paragraph" w:styleId="PargrafodaLista">
    <w:name w:val="List Paragraph"/>
    <w:basedOn w:val="Normal"/>
    <w:uiPriority w:val="1"/>
    <w:qFormat/>
    <w:rsid w:val="007A7F11"/>
    <w:pPr>
      <w:widowControl w:val="0"/>
      <w:suppressAutoHyphens w:val="0"/>
      <w:ind w:left="581"/>
      <w:jc w:val="both"/>
    </w:pPr>
    <w:rPr>
      <w:rFonts w:ascii="Calibri" w:eastAsia="Calibri" w:hAnsi="Calibri" w:cs="Calibri"/>
      <w:sz w:val="22"/>
      <w:szCs w:val="22"/>
      <w:lang w:val="pt-PT" w:eastAsia="en-US"/>
    </w:rPr>
  </w:style>
  <w:style w:type="paragraph" w:customStyle="1" w:styleId="PargrafodaLista1">
    <w:name w:val="Parágrafo da Lista1"/>
    <w:basedOn w:val="Normal"/>
    <w:qFormat/>
    <w:rsid w:val="00903297"/>
    <w:pPr>
      <w:ind w:left="720"/>
    </w:pPr>
  </w:style>
  <w:style w:type="paragraph" w:styleId="Cabealho">
    <w:name w:val="header"/>
    <w:basedOn w:val="Normal"/>
    <w:link w:val="CabealhoChar"/>
    <w:uiPriority w:val="99"/>
    <w:unhideWhenUsed/>
    <w:rsid w:val="00903297"/>
    <w:pPr>
      <w:tabs>
        <w:tab w:val="center" w:pos="4252"/>
        <w:tab w:val="right" w:pos="8504"/>
      </w:tabs>
    </w:pPr>
  </w:style>
  <w:style w:type="paragraph" w:styleId="Rodap">
    <w:name w:val="footer"/>
    <w:basedOn w:val="Normal"/>
    <w:link w:val="RodapChar"/>
    <w:uiPriority w:val="99"/>
    <w:unhideWhenUsed/>
    <w:rsid w:val="00903297"/>
    <w:pPr>
      <w:tabs>
        <w:tab w:val="center" w:pos="4252"/>
        <w:tab w:val="right" w:pos="8504"/>
      </w:tabs>
    </w:pPr>
  </w:style>
  <w:style w:type="paragraph" w:customStyle="1" w:styleId="TableParagraph">
    <w:name w:val="Table Paragraph"/>
    <w:basedOn w:val="Normal"/>
    <w:uiPriority w:val="1"/>
    <w:qFormat/>
    <w:rsid w:val="00903297"/>
    <w:pPr>
      <w:widowControl w:val="0"/>
      <w:suppressAutoHyphens w:val="0"/>
      <w:spacing w:line="290" w:lineRule="exact"/>
      <w:ind w:left="107"/>
    </w:pPr>
    <w:rPr>
      <w:rFonts w:ascii="Calibri" w:eastAsia="Calibri" w:hAnsi="Calibri" w:cs="Calibri"/>
      <w:sz w:val="22"/>
      <w:szCs w:val="22"/>
      <w:lang w:val="pt-PT" w:eastAsia="en-US"/>
    </w:rPr>
  </w:style>
  <w:style w:type="table" w:styleId="Tabelacomgrade">
    <w:name w:val="Table Grid"/>
    <w:basedOn w:val="Tabelanormal"/>
    <w:uiPriority w:val="39"/>
    <w:rsid w:val="007A7F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903297"/>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2383</Words>
  <Characters>12874</Characters>
  <Application>Microsoft Office Word</Application>
  <DocSecurity>0</DocSecurity>
  <Lines>107</Lines>
  <Paragraphs>30</Paragraphs>
  <ScaleCrop>false</ScaleCrop>
  <Company/>
  <LinksUpToDate>false</LinksUpToDate>
  <CharactersWithSpaces>15227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AJUR_FUMBEL</dc:creator>
  <dc:description/>
  <cp:lastModifiedBy>AJUR_FUMBEL</cp:lastModifiedBy>
  <cp:revision>4</cp:revision>
  <dcterms:created xsi:type="dcterms:W3CDTF">2023-10-16T19:27:00Z</dcterms:created>
  <dcterms:modified xsi:type="dcterms:W3CDTF">2023-10-24T18:13:00Z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